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B39E" w14:textId="77777777" w:rsidR="00423E5C" w:rsidRPr="001C70AA" w:rsidRDefault="001F1A1E" w:rsidP="001F146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pacing w:val="20"/>
        </w:rPr>
      </w:pPr>
      <w:r w:rsidRPr="001C70AA">
        <w:rPr>
          <w:rFonts w:cstheme="minorHAnsi"/>
          <w:b/>
          <w:bCs/>
          <w:spacing w:val="20"/>
        </w:rPr>
        <w:t>Sprawozdanie Zarz</w:t>
      </w:r>
      <w:r w:rsidR="004E022C" w:rsidRPr="001C70AA">
        <w:rPr>
          <w:rFonts w:cstheme="minorHAnsi"/>
          <w:b/>
          <w:spacing w:val="20"/>
        </w:rPr>
        <w:t>ą</w:t>
      </w:r>
      <w:r w:rsidRPr="001C70AA">
        <w:rPr>
          <w:rFonts w:cstheme="minorHAnsi"/>
          <w:b/>
          <w:bCs/>
          <w:spacing w:val="20"/>
        </w:rPr>
        <w:t>du</w:t>
      </w:r>
    </w:p>
    <w:p w14:paraId="5F4A34D6" w14:textId="220DC138" w:rsidR="001F1A1E" w:rsidRPr="00B82A36" w:rsidRDefault="00423E5C" w:rsidP="001F146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spółki pod firmą </w:t>
      </w:r>
      <w:r w:rsidR="002339C5">
        <w:rPr>
          <w:rFonts w:cstheme="minorHAnsi"/>
          <w:b/>
          <w:bCs/>
        </w:rPr>
        <w:t>Beskidzkie Biuro Inwestycyjne S.A.</w:t>
      </w:r>
      <w:r>
        <w:rPr>
          <w:rFonts w:cstheme="minorHAnsi"/>
          <w:b/>
          <w:bCs/>
        </w:rPr>
        <w:t xml:space="preserve"> z siedzibą w Krakowie</w:t>
      </w:r>
    </w:p>
    <w:p w14:paraId="0E41D32C" w14:textId="7EBD0162" w:rsidR="001F1A1E" w:rsidRPr="00B82A36" w:rsidRDefault="001F1A1E" w:rsidP="00423E5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B82A36">
        <w:rPr>
          <w:rFonts w:cstheme="minorHAnsi"/>
          <w:b/>
          <w:bCs/>
        </w:rPr>
        <w:t>uzasadniaj</w:t>
      </w:r>
      <w:r w:rsidR="008B4C57" w:rsidRPr="00B82A36">
        <w:rPr>
          <w:rFonts w:cstheme="minorHAnsi"/>
          <w:b/>
        </w:rPr>
        <w:t>ą</w:t>
      </w:r>
      <w:r w:rsidRPr="00B82A36">
        <w:rPr>
          <w:rFonts w:cstheme="minorHAnsi"/>
          <w:b/>
          <w:bCs/>
        </w:rPr>
        <w:t xml:space="preserve">ce </w:t>
      </w:r>
      <w:r w:rsidR="005954DE" w:rsidRPr="00B82A36">
        <w:rPr>
          <w:rFonts w:cstheme="minorHAnsi"/>
          <w:b/>
          <w:bCs/>
        </w:rPr>
        <w:t>połączenie ze spółką</w:t>
      </w:r>
      <w:r w:rsidR="00423E5C">
        <w:rPr>
          <w:rFonts w:cstheme="minorHAnsi"/>
          <w:b/>
          <w:bCs/>
        </w:rPr>
        <w:t xml:space="preserve"> pod firmą</w:t>
      </w:r>
      <w:r w:rsidR="005954DE" w:rsidRPr="00B82A36">
        <w:rPr>
          <w:rFonts w:cstheme="minorHAnsi"/>
          <w:b/>
          <w:bCs/>
        </w:rPr>
        <w:t xml:space="preserve"> </w:t>
      </w:r>
      <w:r w:rsidR="00296622">
        <w:rPr>
          <w:rFonts w:cstheme="minorHAnsi"/>
          <w:b/>
          <w:bCs/>
        </w:rPr>
        <w:t xml:space="preserve">EKIPA HOLDING </w:t>
      </w:r>
      <w:r w:rsidR="002339C5">
        <w:rPr>
          <w:rFonts w:cstheme="minorHAnsi"/>
          <w:b/>
          <w:bCs/>
        </w:rPr>
        <w:t>S.A.</w:t>
      </w:r>
      <w:r w:rsidR="00D16D89" w:rsidRPr="00D16D89">
        <w:rPr>
          <w:rFonts w:cstheme="minorHAnsi"/>
          <w:b/>
          <w:bCs/>
        </w:rPr>
        <w:t xml:space="preserve"> </w:t>
      </w:r>
      <w:r w:rsidR="005954DE" w:rsidRPr="00B82A36">
        <w:rPr>
          <w:rFonts w:cstheme="minorHAnsi"/>
          <w:b/>
          <w:bCs/>
        </w:rPr>
        <w:t xml:space="preserve">z siedzibą w </w:t>
      </w:r>
      <w:r w:rsidR="002339C5">
        <w:rPr>
          <w:rFonts w:cstheme="minorHAnsi"/>
          <w:b/>
          <w:bCs/>
        </w:rPr>
        <w:t>Krakowie</w:t>
      </w:r>
      <w:r w:rsidRPr="00B82A36">
        <w:rPr>
          <w:rFonts w:cstheme="minorHAnsi"/>
          <w:b/>
          <w:bCs/>
        </w:rPr>
        <w:t xml:space="preserve"> </w:t>
      </w:r>
      <w:r w:rsidR="00423E5C">
        <w:rPr>
          <w:rFonts w:cstheme="minorHAnsi"/>
          <w:b/>
          <w:bCs/>
        </w:rPr>
        <w:t xml:space="preserve"> </w:t>
      </w:r>
      <w:r w:rsidRPr="00B82A36">
        <w:rPr>
          <w:rFonts w:cstheme="minorHAnsi"/>
          <w:b/>
          <w:bCs/>
        </w:rPr>
        <w:t>sporz</w:t>
      </w:r>
      <w:r w:rsidR="008B4C57" w:rsidRPr="00B82A36">
        <w:rPr>
          <w:rFonts w:cstheme="minorHAnsi"/>
          <w:b/>
        </w:rPr>
        <w:t>ą</w:t>
      </w:r>
      <w:r w:rsidRPr="00B82A36">
        <w:rPr>
          <w:rFonts w:cstheme="minorHAnsi"/>
          <w:b/>
          <w:bCs/>
        </w:rPr>
        <w:t>dzone zgodnie z art. 5</w:t>
      </w:r>
      <w:r w:rsidR="005954DE" w:rsidRPr="00B82A36">
        <w:rPr>
          <w:rFonts w:cstheme="minorHAnsi"/>
          <w:b/>
          <w:bCs/>
        </w:rPr>
        <w:t>01</w:t>
      </w:r>
      <w:r w:rsidRPr="00B82A36">
        <w:rPr>
          <w:rFonts w:cstheme="minorHAnsi"/>
          <w:b/>
          <w:bCs/>
        </w:rPr>
        <w:t xml:space="preserve"> § 1 Kodeksu spółek handlowych</w:t>
      </w:r>
    </w:p>
    <w:p w14:paraId="0428DC85" w14:textId="77777777" w:rsidR="002822A0" w:rsidRPr="00B82A36" w:rsidRDefault="002822A0" w:rsidP="001F14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2EA08AB9" w14:textId="7232D9F9" w:rsidR="001F1A1E" w:rsidRPr="008244BE" w:rsidRDefault="001F1A1E" w:rsidP="00824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</w:rPr>
      </w:pPr>
      <w:r w:rsidRPr="008244BE">
        <w:rPr>
          <w:rFonts w:cstheme="minorHAnsi"/>
          <w:b/>
        </w:rPr>
        <w:t>Wst</w:t>
      </w:r>
      <w:r w:rsidR="008B4C57" w:rsidRPr="008244BE">
        <w:rPr>
          <w:rFonts w:cstheme="minorHAnsi"/>
          <w:b/>
        </w:rPr>
        <w:t>ęp</w:t>
      </w:r>
    </w:p>
    <w:p w14:paraId="5FF69BB8" w14:textId="77777777" w:rsidR="008B4C57" w:rsidRPr="00B82A36" w:rsidRDefault="008B4C57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2C0CABF" w14:textId="5CAFFD10" w:rsidR="00BC446F" w:rsidRPr="00B82A36" w:rsidRDefault="00BC446F" w:rsidP="54F1B7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54F1B7E3">
        <w:t xml:space="preserve">Niniejsze sprawozdanie zostało sporządzone przez Zarząd spółki pod firmą </w:t>
      </w:r>
      <w:r w:rsidR="007256D0" w:rsidRPr="000D3969">
        <w:rPr>
          <w:rStyle w:val="normaltextrun"/>
          <w:rFonts w:ascii="Calibri" w:hAnsi="Calibri" w:cs="Calibri"/>
          <w:b/>
          <w:bCs/>
          <w:color w:val="000000" w:themeColor="text1"/>
        </w:rPr>
        <w:t>Beskidzkie Biuro Inwestycyjne Spółk</w:t>
      </w:r>
      <w:r w:rsidR="007256D0">
        <w:rPr>
          <w:rStyle w:val="normaltextrun"/>
          <w:rFonts w:ascii="Calibri" w:hAnsi="Calibri" w:cs="Calibri"/>
          <w:b/>
          <w:bCs/>
          <w:color w:val="000000" w:themeColor="text1"/>
        </w:rPr>
        <w:t>a</w:t>
      </w:r>
      <w:r w:rsidR="007256D0" w:rsidRPr="000D396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Akcyjn</w:t>
      </w:r>
      <w:r w:rsidR="007256D0">
        <w:rPr>
          <w:rStyle w:val="normaltextrun"/>
          <w:rFonts w:ascii="Calibri" w:hAnsi="Calibri" w:cs="Calibri"/>
          <w:b/>
          <w:bCs/>
          <w:color w:val="000000" w:themeColor="text1"/>
        </w:rPr>
        <w:t>a</w:t>
      </w:r>
      <w:r w:rsidR="007256D0" w:rsidRPr="000D396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7256D0" w:rsidRPr="00425A66">
        <w:rPr>
          <w:rStyle w:val="normaltextrun"/>
          <w:rFonts w:ascii="Calibri" w:hAnsi="Calibri" w:cs="Calibri"/>
          <w:color w:val="000000" w:themeColor="text1"/>
        </w:rPr>
        <w:t>z siedzibą w Krakowie,</w:t>
      </w:r>
      <w:r w:rsidR="007256D0" w:rsidRPr="000D396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7256D0" w:rsidRPr="000D3969">
        <w:rPr>
          <w:rStyle w:val="normaltextrun"/>
          <w:rFonts w:ascii="Calibri" w:hAnsi="Calibri" w:cs="Calibri"/>
          <w:color w:val="000000" w:themeColor="text1"/>
        </w:rPr>
        <w:t xml:space="preserve">pod adresem: </w:t>
      </w:r>
      <w:r w:rsidR="007256D0" w:rsidRPr="00F37762">
        <w:rPr>
          <w:rStyle w:val="normaltextrun"/>
          <w:rFonts w:ascii="Calibri" w:hAnsi="Calibri" w:cs="Calibri"/>
          <w:color w:val="000000" w:themeColor="text1"/>
        </w:rPr>
        <w:t>ul. Grzegórzecka 67D</w:t>
      </w:r>
      <w:r w:rsidR="007256D0">
        <w:rPr>
          <w:rStyle w:val="normaltextrun"/>
          <w:rFonts w:ascii="Calibri" w:hAnsi="Calibri" w:cs="Calibri"/>
          <w:color w:val="000000" w:themeColor="text1"/>
        </w:rPr>
        <w:t>/</w:t>
      </w:r>
      <w:r w:rsidR="007256D0" w:rsidRPr="00F37762">
        <w:rPr>
          <w:rStyle w:val="normaltextrun"/>
          <w:rFonts w:ascii="Calibri" w:hAnsi="Calibri" w:cs="Calibri"/>
          <w:color w:val="000000" w:themeColor="text1"/>
        </w:rPr>
        <w:t>26</w:t>
      </w:r>
      <w:r w:rsidR="007256D0">
        <w:rPr>
          <w:rStyle w:val="normaltextrun"/>
          <w:rFonts w:ascii="Calibri" w:hAnsi="Calibri" w:cs="Calibri"/>
          <w:color w:val="000000" w:themeColor="text1"/>
        </w:rPr>
        <w:t>,</w:t>
      </w:r>
      <w:r w:rsidR="006E7CBB">
        <w:rPr>
          <w:rStyle w:val="normaltextrun"/>
          <w:rFonts w:ascii="Calibri" w:hAnsi="Calibri" w:cs="Calibri"/>
          <w:color w:val="000000" w:themeColor="text1"/>
        </w:rPr>
        <w:br/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>31-559</w:t>
      </w:r>
      <w:r w:rsidR="007256D0">
        <w:rPr>
          <w:rStyle w:val="normaltextrun"/>
          <w:rFonts w:ascii="Calibri" w:hAnsi="Calibri" w:cs="Calibri"/>
          <w:color w:val="000000" w:themeColor="text1"/>
        </w:rPr>
        <w:t xml:space="preserve"> Kraków</w:t>
      </w:r>
      <w:r w:rsidR="007256D0" w:rsidRPr="000D3969">
        <w:rPr>
          <w:rStyle w:val="normaltextrun"/>
          <w:rFonts w:ascii="Calibri" w:hAnsi="Calibri" w:cs="Calibri"/>
          <w:color w:val="000000" w:themeColor="text1"/>
        </w:rPr>
        <w:t>, wpisan</w:t>
      </w:r>
      <w:r w:rsidR="00CA6E2D">
        <w:rPr>
          <w:rStyle w:val="normaltextrun"/>
          <w:rFonts w:ascii="Calibri" w:hAnsi="Calibri" w:cs="Calibri"/>
          <w:color w:val="000000" w:themeColor="text1"/>
        </w:rPr>
        <w:t>ej</w:t>
      </w:r>
      <w:r w:rsidR="007256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7256D0" w:rsidRPr="000D3969">
        <w:rPr>
          <w:rStyle w:val="normaltextrun"/>
          <w:rFonts w:ascii="Calibri" w:hAnsi="Calibri" w:cs="Calibri"/>
          <w:color w:val="000000" w:themeColor="text1"/>
        </w:rPr>
        <w:t xml:space="preserve">do </w:t>
      </w:r>
      <w:r w:rsidR="00B725DB">
        <w:rPr>
          <w:rStyle w:val="normaltextrun"/>
          <w:rFonts w:ascii="Calibri" w:hAnsi="Calibri" w:cs="Calibri"/>
          <w:color w:val="000000" w:themeColor="text1"/>
        </w:rPr>
        <w:t>r</w:t>
      </w:r>
      <w:r w:rsidR="007256D0" w:rsidRPr="000D3969">
        <w:rPr>
          <w:rStyle w:val="normaltextrun"/>
          <w:rFonts w:ascii="Calibri" w:hAnsi="Calibri" w:cs="Calibri"/>
          <w:color w:val="000000" w:themeColor="text1"/>
        </w:rPr>
        <w:t xml:space="preserve">ejestru </w:t>
      </w:r>
      <w:r w:rsidR="00B725DB">
        <w:rPr>
          <w:rStyle w:val="normaltextrun"/>
          <w:rFonts w:ascii="Calibri" w:hAnsi="Calibri" w:cs="Calibri"/>
          <w:color w:val="000000" w:themeColor="text1"/>
        </w:rPr>
        <w:t>p</w:t>
      </w:r>
      <w:r w:rsidR="007256D0" w:rsidRPr="000D3969">
        <w:rPr>
          <w:rStyle w:val="normaltextrun"/>
          <w:rFonts w:ascii="Calibri" w:hAnsi="Calibri" w:cs="Calibri"/>
          <w:color w:val="000000" w:themeColor="text1"/>
        </w:rPr>
        <w:t xml:space="preserve">rzedsiębiorców prowadzonego przez </w:t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 xml:space="preserve">Sąd Rejonowy </w:t>
      </w:r>
      <w:r w:rsidR="007256D0">
        <w:rPr>
          <w:rStyle w:val="normaltextrun"/>
          <w:rFonts w:ascii="Calibri" w:hAnsi="Calibri" w:cs="Calibri"/>
          <w:color w:val="000000" w:themeColor="text1"/>
        </w:rPr>
        <w:t>d</w:t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>la Krakowa</w:t>
      </w:r>
      <w:r w:rsidR="007256D0">
        <w:rPr>
          <w:rStyle w:val="normaltextrun"/>
          <w:rFonts w:ascii="Calibri" w:hAnsi="Calibri" w:cs="Calibri"/>
          <w:color w:val="000000" w:themeColor="text1"/>
        </w:rPr>
        <w:t>-</w:t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 xml:space="preserve">Śródmieścia </w:t>
      </w:r>
      <w:r w:rsidR="007256D0">
        <w:rPr>
          <w:rStyle w:val="normaltextrun"/>
          <w:rFonts w:ascii="Calibri" w:hAnsi="Calibri" w:cs="Calibri"/>
          <w:color w:val="000000" w:themeColor="text1"/>
        </w:rPr>
        <w:t>w</w:t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 xml:space="preserve"> Krakowie, X</w:t>
      </w:r>
      <w:r w:rsidR="007256D0">
        <w:rPr>
          <w:rStyle w:val="normaltextrun"/>
          <w:rFonts w:ascii="Calibri" w:hAnsi="Calibri" w:cs="Calibri"/>
          <w:color w:val="000000" w:themeColor="text1"/>
        </w:rPr>
        <w:t>I</w:t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 xml:space="preserve"> Wydział Gospodarczy</w:t>
      </w:r>
      <w:r w:rsidR="007256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7256D0" w:rsidRPr="00915615">
        <w:rPr>
          <w:rStyle w:val="normaltextrun"/>
          <w:rFonts w:ascii="Calibri" w:hAnsi="Calibri" w:cs="Calibri"/>
          <w:color w:val="000000" w:themeColor="text1"/>
        </w:rPr>
        <w:t>Krajowego Rejestru Sądowego</w:t>
      </w:r>
      <w:r w:rsidR="007256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7256D0" w:rsidRPr="000D3969">
        <w:rPr>
          <w:rStyle w:val="normaltextrun"/>
          <w:rFonts w:ascii="Calibri" w:hAnsi="Calibri" w:cs="Calibri"/>
          <w:color w:val="000000" w:themeColor="text1"/>
        </w:rPr>
        <w:t>pod nr KRS: 0000352910; REGON: 241302763, NIP: 9372604213, o kapitale zakładowym w wysokości 409.950,00 zł, w całości wpłaconym</w:t>
      </w:r>
      <w:r w:rsidR="00085C99" w:rsidRPr="54F1B7E3">
        <w:rPr>
          <w:color w:val="000000" w:themeColor="text1"/>
        </w:rPr>
        <w:t xml:space="preserve"> </w:t>
      </w:r>
      <w:r w:rsidR="00501A8D" w:rsidRPr="54F1B7E3">
        <w:rPr>
          <w:color w:val="000000" w:themeColor="text1"/>
        </w:rPr>
        <w:t>(</w:t>
      </w:r>
      <w:r w:rsidR="00285A9A">
        <w:rPr>
          <w:color w:val="000000" w:themeColor="text1"/>
        </w:rPr>
        <w:t>dalej</w:t>
      </w:r>
      <w:r w:rsidR="00C414DC">
        <w:rPr>
          <w:color w:val="000000" w:themeColor="text1"/>
        </w:rPr>
        <w:t>:</w:t>
      </w:r>
      <w:r w:rsidR="00501A8D" w:rsidRPr="54F1B7E3">
        <w:rPr>
          <w:color w:val="000000" w:themeColor="text1"/>
        </w:rPr>
        <w:t xml:space="preserve"> „</w:t>
      </w:r>
      <w:r w:rsidR="00501A8D" w:rsidRPr="54F1B7E3">
        <w:rPr>
          <w:b/>
          <w:bCs/>
          <w:color w:val="000000" w:themeColor="text1"/>
        </w:rPr>
        <w:t>Spółka Przejmująca</w:t>
      </w:r>
      <w:r w:rsidR="00501A8D" w:rsidRPr="54F1B7E3">
        <w:rPr>
          <w:color w:val="000000" w:themeColor="text1"/>
        </w:rPr>
        <w:t>”)</w:t>
      </w:r>
      <w:r w:rsidRPr="54F1B7E3">
        <w:t xml:space="preserve">, w związku z </w:t>
      </w:r>
      <w:r w:rsidR="00034BBB">
        <w:t>zamiarem połączenia</w:t>
      </w:r>
      <w:r w:rsidR="00501A8D" w:rsidRPr="54F1B7E3">
        <w:t xml:space="preserve"> Spółki</w:t>
      </w:r>
      <w:r w:rsidR="002D754F">
        <w:t xml:space="preserve"> Przejmującej</w:t>
      </w:r>
      <w:r w:rsidR="00501A8D" w:rsidRPr="54F1B7E3">
        <w:t xml:space="preserve"> ze spółką pod firmą </w:t>
      </w:r>
      <w:r w:rsidR="00296622" w:rsidRPr="000D3969">
        <w:rPr>
          <w:rFonts w:ascii="Calibri" w:hAnsi="Calibri" w:cs="Calibri"/>
          <w:b/>
          <w:bCs/>
          <w:color w:val="000000" w:themeColor="text1"/>
        </w:rPr>
        <w:t>EKIPA HOLDING</w:t>
      </w:r>
      <w:r w:rsidR="00236D79" w:rsidRPr="000D3969">
        <w:rPr>
          <w:rFonts w:ascii="Calibri" w:hAnsi="Calibri" w:cs="Calibri"/>
          <w:b/>
          <w:bCs/>
          <w:color w:val="000000" w:themeColor="text1"/>
        </w:rPr>
        <w:t xml:space="preserve"> Spółka Akcyjna </w:t>
      </w:r>
      <w:r w:rsidR="00236D79" w:rsidRPr="000D3969">
        <w:rPr>
          <w:rFonts w:ascii="Calibri" w:hAnsi="Calibri" w:cs="Calibri"/>
          <w:color w:val="000000" w:themeColor="text1"/>
        </w:rPr>
        <w:t xml:space="preserve">z siedzibą w Krakowie, pod adresem: ul. </w:t>
      </w:r>
      <w:bookmarkStart w:id="0" w:name="_Hlk77927753"/>
      <w:r w:rsidR="00236D79" w:rsidRPr="000D3969">
        <w:rPr>
          <w:rFonts w:ascii="Calibri" w:hAnsi="Calibri" w:cs="Calibri"/>
          <w:color w:val="000000" w:themeColor="text1"/>
        </w:rPr>
        <w:t>Emaus 5, 30-201 Kraków</w:t>
      </w:r>
      <w:bookmarkEnd w:id="0"/>
      <w:r w:rsidR="00236D79" w:rsidRPr="000D3969">
        <w:rPr>
          <w:rFonts w:ascii="Calibri" w:hAnsi="Calibri" w:cs="Calibri"/>
          <w:color w:val="000000" w:themeColor="text1"/>
        </w:rPr>
        <w:t>, wpisan</w:t>
      </w:r>
      <w:r w:rsidR="00236D79">
        <w:rPr>
          <w:rFonts w:ascii="Calibri" w:hAnsi="Calibri" w:cs="Calibri"/>
          <w:color w:val="000000" w:themeColor="text1"/>
        </w:rPr>
        <w:t>ą</w:t>
      </w:r>
      <w:r w:rsidR="00236D79" w:rsidRPr="000D3969">
        <w:rPr>
          <w:rFonts w:ascii="Calibri" w:hAnsi="Calibri" w:cs="Calibri"/>
          <w:color w:val="000000" w:themeColor="text1"/>
        </w:rPr>
        <w:t xml:space="preserve"> do rejestru przedsiębiorców prowadzonego przez Sąd Rejonowy dla Krakowa-Śródmieścia w Krakowie, XI Wydział Gospodarczy Krajowego Rejestru Sądowego pod nr KRS: 0000867844; REGON: 387016544, NIP: 6772456252, o kapitale zakładowym w wysokości 1.101.223,81 zł, w całości wpłaconym</w:t>
      </w:r>
      <w:r w:rsidR="00236D79" w:rsidRPr="54F1B7E3">
        <w:rPr>
          <w:color w:val="000000" w:themeColor="text1"/>
        </w:rPr>
        <w:t xml:space="preserve"> </w:t>
      </w:r>
      <w:r w:rsidR="00501A8D" w:rsidRPr="54F1B7E3">
        <w:rPr>
          <w:color w:val="000000" w:themeColor="text1"/>
        </w:rPr>
        <w:t>(</w:t>
      </w:r>
      <w:r w:rsidR="00285A9A">
        <w:rPr>
          <w:color w:val="000000" w:themeColor="text1"/>
        </w:rPr>
        <w:t xml:space="preserve">dalej: </w:t>
      </w:r>
      <w:r w:rsidR="00501A8D" w:rsidRPr="54F1B7E3">
        <w:rPr>
          <w:color w:val="000000" w:themeColor="text1"/>
        </w:rPr>
        <w:t>„</w:t>
      </w:r>
      <w:r w:rsidR="00501A8D" w:rsidRPr="54F1B7E3">
        <w:rPr>
          <w:b/>
          <w:bCs/>
          <w:color w:val="000000" w:themeColor="text1"/>
        </w:rPr>
        <w:t>Spółka Przejmowana</w:t>
      </w:r>
      <w:r w:rsidR="00501A8D" w:rsidRPr="54F1B7E3">
        <w:rPr>
          <w:color w:val="000000" w:themeColor="text1"/>
        </w:rPr>
        <w:t xml:space="preserve">”), </w:t>
      </w:r>
      <w:r w:rsidRPr="54F1B7E3">
        <w:t xml:space="preserve">w trybie określonym w art. </w:t>
      </w:r>
      <w:r w:rsidR="00501A8D" w:rsidRPr="54F1B7E3">
        <w:t>492</w:t>
      </w:r>
      <w:r w:rsidRPr="54F1B7E3">
        <w:t xml:space="preserve"> § 1 pkt </w:t>
      </w:r>
      <w:r w:rsidR="00501A8D" w:rsidRPr="54F1B7E3">
        <w:t>1</w:t>
      </w:r>
      <w:r w:rsidRPr="54F1B7E3">
        <w:t xml:space="preserve"> ustawy z dnia 15 września 2000 r. – Kodeks spółek handlowych (Dz.U. z 201</w:t>
      </w:r>
      <w:r w:rsidR="00501A8D" w:rsidRPr="54F1B7E3">
        <w:t>9</w:t>
      </w:r>
      <w:r w:rsidRPr="54F1B7E3">
        <w:t xml:space="preserve"> r., poz. </w:t>
      </w:r>
      <w:r w:rsidR="00501A8D" w:rsidRPr="54F1B7E3">
        <w:t>505</w:t>
      </w:r>
      <w:r w:rsidRPr="54F1B7E3">
        <w:t xml:space="preserve"> z późn. zm., dalej: „</w:t>
      </w:r>
      <w:r w:rsidR="007259BD" w:rsidRPr="54F1B7E3">
        <w:rPr>
          <w:b/>
          <w:bCs/>
        </w:rPr>
        <w:t>KSH</w:t>
      </w:r>
      <w:r w:rsidRPr="54F1B7E3">
        <w:t>”</w:t>
      </w:r>
      <w:r w:rsidR="00204C4B">
        <w:t>) (dalej: „</w:t>
      </w:r>
      <w:r w:rsidR="00204C4B">
        <w:rPr>
          <w:b/>
          <w:bCs/>
        </w:rPr>
        <w:t>Połączenie</w:t>
      </w:r>
      <w:r w:rsidR="00204C4B">
        <w:t>”</w:t>
      </w:r>
      <w:r w:rsidRPr="54F1B7E3">
        <w:t>).</w:t>
      </w:r>
    </w:p>
    <w:p w14:paraId="58E102FB" w14:textId="4B3C488D" w:rsidR="00CC1470" w:rsidRPr="00B82A36" w:rsidRDefault="00CC1470" w:rsidP="001F146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2F4A85B8" w14:textId="29E6363F" w:rsidR="00CC1470" w:rsidRPr="00B82A36" w:rsidRDefault="00CC1470" w:rsidP="001F146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B82A36">
        <w:rPr>
          <w:rFonts w:cstheme="minorHAnsi"/>
        </w:rPr>
        <w:t xml:space="preserve">Celem niniejszego sprawozdania jest wskazanie najistotniejszych motywów, którymi kierował się Zarząd </w:t>
      </w:r>
      <w:r w:rsidR="00236D79">
        <w:rPr>
          <w:rFonts w:cstheme="minorHAnsi"/>
        </w:rPr>
        <w:t>Spółki Przejmującej</w:t>
      </w:r>
      <w:r w:rsidRPr="00B82A36">
        <w:rPr>
          <w:rFonts w:cstheme="minorHAnsi"/>
        </w:rPr>
        <w:t xml:space="preserve"> przy podejmowaniu decyzji o połączeniu z</w:t>
      </w:r>
      <w:r w:rsidR="00236D79">
        <w:rPr>
          <w:rFonts w:cstheme="minorHAnsi"/>
        </w:rPr>
        <w:t>e</w:t>
      </w:r>
      <w:r w:rsidRPr="00B82A36">
        <w:rPr>
          <w:rFonts w:cstheme="minorHAnsi"/>
        </w:rPr>
        <w:t xml:space="preserve"> </w:t>
      </w:r>
      <w:bookmarkStart w:id="1" w:name="_Hlk77940441"/>
      <w:r w:rsidR="00236D79">
        <w:rPr>
          <w:rStyle w:val="normaltextrun"/>
          <w:rFonts w:ascii="Calibri" w:hAnsi="Calibri" w:cs="Calibri"/>
          <w:color w:val="000000" w:themeColor="text1"/>
        </w:rPr>
        <w:t>Spółką Przejmowaną</w:t>
      </w:r>
      <w:r w:rsidR="00B87742" w:rsidRPr="00B82A36">
        <w:rPr>
          <w:rFonts w:cstheme="minorHAnsi"/>
        </w:rPr>
        <w:t xml:space="preserve"> </w:t>
      </w:r>
      <w:bookmarkEnd w:id="1"/>
      <w:r w:rsidRPr="00B82A36">
        <w:rPr>
          <w:rFonts w:cstheme="minorHAnsi"/>
        </w:rPr>
        <w:t>oraz wskazanie podstaw prawnych</w:t>
      </w:r>
      <w:r w:rsidR="00402166">
        <w:rPr>
          <w:rFonts w:cstheme="minorHAnsi"/>
        </w:rPr>
        <w:t xml:space="preserve"> i</w:t>
      </w:r>
      <w:r w:rsidRPr="00B82A36">
        <w:rPr>
          <w:rFonts w:cstheme="minorHAnsi"/>
        </w:rPr>
        <w:t xml:space="preserve"> ekonomicznego uzasadnienia</w:t>
      </w:r>
      <w:r w:rsidR="00402166">
        <w:rPr>
          <w:rFonts w:cstheme="minorHAnsi"/>
        </w:rPr>
        <w:t xml:space="preserve"> Połączenia.</w:t>
      </w:r>
    </w:p>
    <w:p w14:paraId="092EC041" w14:textId="77777777" w:rsidR="00BC446F" w:rsidRPr="00B82A36" w:rsidRDefault="00BC446F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DE00271" w14:textId="203DF3D1" w:rsidR="00C17968" w:rsidRPr="00B82A36" w:rsidRDefault="001F1A1E" w:rsidP="001F14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B82A36">
        <w:rPr>
          <w:rFonts w:cstheme="minorHAnsi"/>
        </w:rPr>
        <w:t xml:space="preserve">Integracja </w:t>
      </w:r>
      <w:r w:rsidR="00CC1470" w:rsidRPr="00B82A36">
        <w:rPr>
          <w:rFonts w:cstheme="minorHAnsi"/>
        </w:rPr>
        <w:t xml:space="preserve">obu </w:t>
      </w:r>
      <w:r w:rsidRPr="00B82A36">
        <w:rPr>
          <w:rFonts w:cstheme="minorHAnsi"/>
        </w:rPr>
        <w:t>podmiotów uzasadniona jes</w:t>
      </w:r>
      <w:r w:rsidR="002822A0" w:rsidRPr="00B82A36">
        <w:rPr>
          <w:rFonts w:cstheme="minorHAnsi"/>
        </w:rPr>
        <w:t xml:space="preserve">t wzmocnieniem pozycji rynkowej </w:t>
      </w:r>
      <w:r w:rsidRPr="00B82A36">
        <w:rPr>
          <w:rFonts w:cstheme="minorHAnsi"/>
        </w:rPr>
        <w:t>kreowanego t</w:t>
      </w:r>
      <w:r w:rsidR="008B4C57" w:rsidRPr="00B82A36">
        <w:rPr>
          <w:rFonts w:cstheme="minorHAnsi"/>
        </w:rPr>
        <w:t>ą</w:t>
      </w:r>
      <w:r w:rsidRPr="00B82A36">
        <w:rPr>
          <w:rFonts w:cstheme="minorHAnsi"/>
        </w:rPr>
        <w:t xml:space="preserve"> drog</w:t>
      </w:r>
      <w:r w:rsidR="008B4C57" w:rsidRPr="00B82A36">
        <w:rPr>
          <w:rFonts w:cstheme="minorHAnsi"/>
        </w:rPr>
        <w:t>ą</w:t>
      </w:r>
      <w:r w:rsidRPr="00B82A36">
        <w:rPr>
          <w:rFonts w:cstheme="minorHAnsi"/>
        </w:rPr>
        <w:t xml:space="preserve"> podmiotu oraz korzy</w:t>
      </w:r>
      <w:r w:rsidR="008B4C57" w:rsidRPr="00B82A36">
        <w:rPr>
          <w:rFonts w:cstheme="minorHAnsi"/>
        </w:rPr>
        <w:t>ś</w:t>
      </w:r>
      <w:r w:rsidRPr="00B82A36">
        <w:rPr>
          <w:rFonts w:cstheme="minorHAnsi"/>
        </w:rPr>
        <w:t>ciami ekonomicznymi wynikaj</w:t>
      </w:r>
      <w:r w:rsidR="008B4C57" w:rsidRPr="00B82A36">
        <w:rPr>
          <w:rFonts w:cstheme="minorHAnsi"/>
        </w:rPr>
        <w:t>ą</w:t>
      </w:r>
      <w:r w:rsidR="002822A0" w:rsidRPr="00B82A36">
        <w:rPr>
          <w:rFonts w:cstheme="minorHAnsi"/>
        </w:rPr>
        <w:t xml:space="preserve">cymi z </w:t>
      </w:r>
      <w:r w:rsidRPr="00B82A36">
        <w:rPr>
          <w:rFonts w:cstheme="minorHAnsi"/>
        </w:rPr>
        <w:t>efektu skali, zwi</w:t>
      </w:r>
      <w:r w:rsidR="008B4C57" w:rsidRPr="00B82A36">
        <w:rPr>
          <w:rFonts w:cstheme="minorHAnsi"/>
        </w:rPr>
        <w:t>ą</w:t>
      </w:r>
      <w:r w:rsidRPr="00B82A36">
        <w:rPr>
          <w:rFonts w:cstheme="minorHAnsi"/>
        </w:rPr>
        <w:t>zanymi ze wzrostem przychodów oraz minimalizacj</w:t>
      </w:r>
      <w:r w:rsidR="008B4C57" w:rsidRPr="00B82A36">
        <w:rPr>
          <w:rFonts w:cstheme="minorHAnsi"/>
        </w:rPr>
        <w:t>ą</w:t>
      </w:r>
      <w:r w:rsidRPr="00B82A36">
        <w:rPr>
          <w:rFonts w:cstheme="minorHAnsi"/>
        </w:rPr>
        <w:t xml:space="preserve"> </w:t>
      </w:r>
      <w:r w:rsidR="002822A0" w:rsidRPr="00B82A36">
        <w:rPr>
          <w:rFonts w:cstheme="minorHAnsi"/>
        </w:rPr>
        <w:t xml:space="preserve">kosztów, z </w:t>
      </w:r>
      <w:r w:rsidRPr="00B82A36">
        <w:rPr>
          <w:rFonts w:cstheme="minorHAnsi"/>
        </w:rPr>
        <w:t>uwzgl</w:t>
      </w:r>
      <w:r w:rsidR="008B4C57" w:rsidRPr="00B82A36">
        <w:rPr>
          <w:rFonts w:cstheme="minorHAnsi"/>
        </w:rPr>
        <w:t>ę</w:t>
      </w:r>
      <w:r w:rsidRPr="00B82A36">
        <w:rPr>
          <w:rFonts w:cstheme="minorHAnsi"/>
        </w:rPr>
        <w:t>dnieniem synergii skonsolidowanej działalno</w:t>
      </w:r>
      <w:r w:rsidR="008B4C57" w:rsidRPr="00B82A36">
        <w:rPr>
          <w:rFonts w:cstheme="minorHAnsi"/>
        </w:rPr>
        <w:t>ś</w:t>
      </w:r>
      <w:r w:rsidRPr="00B82A36">
        <w:rPr>
          <w:rFonts w:cstheme="minorHAnsi"/>
        </w:rPr>
        <w:t>ci.</w:t>
      </w:r>
    </w:p>
    <w:p w14:paraId="174DFC82" w14:textId="77777777" w:rsidR="00C17968" w:rsidRPr="00B82A36" w:rsidRDefault="00C17968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60A6ACA" w14:textId="7D481E02" w:rsidR="00C17968" w:rsidRPr="00B82A36" w:rsidRDefault="00C17968" w:rsidP="7DE9FA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7DE9FA11">
        <w:t xml:space="preserve">Połączenie nastąpi w sposób opisany w planie </w:t>
      </w:r>
      <w:r w:rsidR="00312003">
        <w:t>p</w:t>
      </w:r>
      <w:r w:rsidRPr="7DE9FA11">
        <w:t>ołączenia</w:t>
      </w:r>
      <w:r w:rsidR="001D37AB">
        <w:t xml:space="preserve">, </w:t>
      </w:r>
      <w:r w:rsidR="001D37AB" w:rsidRPr="7DE9FA11">
        <w:t xml:space="preserve">uzgodnionym przez </w:t>
      </w:r>
      <w:r w:rsidR="001D37AB">
        <w:t>Zarządy obu łączących się spółek</w:t>
      </w:r>
      <w:r w:rsidRPr="7DE9FA11">
        <w:t xml:space="preserve"> </w:t>
      </w:r>
      <w:bookmarkStart w:id="2" w:name="_Hlk77940489"/>
      <w:r w:rsidR="001D37AB">
        <w:t>w dniu</w:t>
      </w:r>
      <w:r w:rsidRPr="7DE9FA11">
        <w:t xml:space="preserve"> </w:t>
      </w:r>
      <w:r w:rsidR="00B02FAA" w:rsidRPr="7DE9FA11">
        <w:t>28</w:t>
      </w:r>
      <w:r w:rsidR="003E3514" w:rsidRPr="7DE9FA11">
        <w:t xml:space="preserve"> </w:t>
      </w:r>
      <w:r w:rsidR="00B02FAA" w:rsidRPr="7DE9FA11">
        <w:t>września</w:t>
      </w:r>
      <w:r w:rsidR="00B82A36" w:rsidRPr="7DE9FA11">
        <w:t xml:space="preserve"> 2021</w:t>
      </w:r>
      <w:r w:rsidRPr="7DE9FA11">
        <w:t xml:space="preserve"> r.</w:t>
      </w:r>
      <w:r w:rsidR="00363EF2">
        <w:t xml:space="preserve"> </w:t>
      </w:r>
      <w:r w:rsidR="00363EF2" w:rsidRPr="7DE9FA11">
        <w:t>(„</w:t>
      </w:r>
      <w:r w:rsidR="00363EF2" w:rsidRPr="7DE9FA11">
        <w:rPr>
          <w:b/>
          <w:bCs/>
        </w:rPr>
        <w:t>Plan Połączenia</w:t>
      </w:r>
      <w:r w:rsidR="00363EF2" w:rsidRPr="7DE9FA11">
        <w:t>”)</w:t>
      </w:r>
      <w:r w:rsidRPr="7DE9FA11">
        <w:t>,</w:t>
      </w:r>
      <w:r w:rsidR="00576203">
        <w:t xml:space="preserve"> </w:t>
      </w:r>
      <w:r w:rsidRPr="7DE9FA11">
        <w:t>ogłoszonym w dniu</w:t>
      </w:r>
      <w:r w:rsidR="00576203">
        <w:br/>
      </w:r>
      <w:r w:rsidR="00D232AF" w:rsidRPr="7DE9FA11">
        <w:t>28 września 2021</w:t>
      </w:r>
      <w:r w:rsidRPr="7DE9FA11">
        <w:t xml:space="preserve"> roku zgodnie z art. 500 § 2(1) KSH, tj. poprzez bezpłatne udostępnienie Planu Połączenia, począwszy od dnia </w:t>
      </w:r>
      <w:r w:rsidR="00D232AF" w:rsidRPr="7DE9FA11">
        <w:t>28 września</w:t>
      </w:r>
      <w:r w:rsidR="00483971" w:rsidRPr="7DE9FA11">
        <w:t xml:space="preserve"> 2021</w:t>
      </w:r>
      <w:r w:rsidRPr="7DE9FA11">
        <w:t xml:space="preserve"> roku na stronach internetowych łączących się spółek, pod adresami:</w:t>
      </w:r>
    </w:p>
    <w:bookmarkEnd w:id="2"/>
    <w:p w14:paraId="18AFA87E" w14:textId="77777777" w:rsidR="00C17968" w:rsidRPr="00B82A36" w:rsidRDefault="00C17968" w:rsidP="001F146A">
      <w:pPr>
        <w:spacing w:after="0" w:line="276" w:lineRule="auto"/>
        <w:jc w:val="both"/>
        <w:rPr>
          <w:rFonts w:cstheme="minorHAnsi"/>
        </w:rPr>
      </w:pPr>
    </w:p>
    <w:p w14:paraId="5A631BFA" w14:textId="237708E5" w:rsidR="00766D48" w:rsidRDefault="00C17968" w:rsidP="001F146A">
      <w:pPr>
        <w:spacing w:after="0" w:line="276" w:lineRule="auto"/>
        <w:ind w:left="426"/>
        <w:jc w:val="both"/>
        <w:rPr>
          <w:rFonts w:cstheme="minorHAnsi"/>
        </w:rPr>
      </w:pPr>
      <w:bookmarkStart w:id="3" w:name="_Hlk77940502"/>
      <w:r w:rsidRPr="00B82A36">
        <w:rPr>
          <w:rFonts w:cstheme="minorHAnsi"/>
        </w:rPr>
        <w:t xml:space="preserve">(-) przez </w:t>
      </w:r>
      <w:bookmarkStart w:id="4" w:name="_Hlk25517795"/>
      <w:r w:rsidR="002A0F86" w:rsidRPr="00B82A36">
        <w:rPr>
          <w:rFonts w:cstheme="minorHAnsi"/>
        </w:rPr>
        <w:t>Spółkę Przejmującą</w:t>
      </w:r>
      <w:r w:rsidRPr="00B82A36">
        <w:rPr>
          <w:rFonts w:cstheme="minorHAnsi"/>
        </w:rPr>
        <w:t xml:space="preserve"> </w:t>
      </w:r>
      <w:bookmarkEnd w:id="4"/>
      <w:r w:rsidRPr="00B82A36">
        <w:rPr>
          <w:rFonts w:cstheme="minorHAnsi"/>
        </w:rPr>
        <w:t>na stronie internetowej:</w:t>
      </w:r>
    </w:p>
    <w:p w14:paraId="7666D339" w14:textId="3D854FC5" w:rsidR="00065493" w:rsidRDefault="00B24F41" w:rsidP="00065493">
      <w:pPr>
        <w:spacing w:after="0" w:line="276" w:lineRule="auto"/>
        <w:ind w:left="426"/>
        <w:jc w:val="both"/>
        <w:rPr>
          <w:rFonts w:cstheme="minorHAnsi"/>
        </w:rPr>
      </w:pPr>
      <w:hyperlink r:id="rId10" w:history="1">
        <w:r w:rsidR="00065493" w:rsidRPr="00E10D16">
          <w:rPr>
            <w:rStyle w:val="Hipercze"/>
            <w:rFonts w:cstheme="minorHAnsi"/>
          </w:rPr>
          <w:t>https://bbi-polska.com/</w:t>
        </w:r>
      </w:hyperlink>
    </w:p>
    <w:bookmarkEnd w:id="3"/>
    <w:p w14:paraId="09239D1B" w14:textId="77777777" w:rsidR="00065493" w:rsidRDefault="007259BD" w:rsidP="00065493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</w:rPr>
      </w:pPr>
      <w:r w:rsidRPr="007259BD">
        <w:rPr>
          <w:rFonts w:cstheme="minorHAnsi"/>
        </w:rPr>
        <w:t>(-) przez Spółkę Przejmowaną na stronie internetowej: </w:t>
      </w:r>
    </w:p>
    <w:p w14:paraId="6AB91D15" w14:textId="77777777" w:rsidR="00F9061B" w:rsidRPr="00301368" w:rsidRDefault="00B24F41" w:rsidP="00F9061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9061B" w:rsidRPr="00301368">
          <w:rPr>
            <w:rStyle w:val="Hipercze"/>
            <w:rFonts w:asciiTheme="minorHAnsi" w:hAnsiTheme="minorHAnsi" w:cstheme="minorHAnsi"/>
            <w:sz w:val="22"/>
            <w:szCs w:val="22"/>
          </w:rPr>
          <w:t>https://ekipaholding.pl/wp-content/uploads/2021/10/Plan_Polaczenia_EKIPA-BBI-1.pdf</w:t>
        </w:r>
      </w:hyperlink>
      <w:r w:rsidR="00F9061B" w:rsidRPr="003013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3E599" w14:textId="77777777" w:rsidR="00065493" w:rsidRDefault="00065493" w:rsidP="00065493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</w:rPr>
      </w:pPr>
    </w:p>
    <w:p w14:paraId="79422B35" w14:textId="2DD72430" w:rsidR="001F1A1E" w:rsidRPr="008244BE" w:rsidRDefault="001F1A1E" w:rsidP="00824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</w:rPr>
      </w:pPr>
      <w:r w:rsidRPr="008244BE">
        <w:rPr>
          <w:rFonts w:cstheme="minorHAnsi"/>
          <w:b/>
        </w:rPr>
        <w:t>Podstawy prawne</w:t>
      </w:r>
      <w:r w:rsidR="00102A89" w:rsidRPr="008244BE">
        <w:rPr>
          <w:rFonts w:cstheme="minorHAnsi"/>
          <w:b/>
        </w:rPr>
        <w:t xml:space="preserve"> </w:t>
      </w:r>
      <w:r w:rsidR="00C17EC4" w:rsidRPr="008244BE">
        <w:rPr>
          <w:rFonts w:cstheme="minorHAnsi"/>
          <w:b/>
        </w:rPr>
        <w:t>P</w:t>
      </w:r>
      <w:r w:rsidR="00B028BC" w:rsidRPr="008244BE">
        <w:rPr>
          <w:rFonts w:cstheme="minorHAnsi"/>
          <w:b/>
        </w:rPr>
        <w:t>ołączenia</w:t>
      </w:r>
    </w:p>
    <w:p w14:paraId="7A807853" w14:textId="77777777" w:rsidR="00102A89" w:rsidRPr="00B82A36" w:rsidRDefault="00102A89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D9513E5" w14:textId="339EB00B" w:rsidR="00102A89" w:rsidRPr="00B82A36" w:rsidRDefault="001F1A1E" w:rsidP="001F14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bookmarkStart w:id="5" w:name="_Hlk77940521"/>
      <w:r w:rsidRPr="00B82A36">
        <w:rPr>
          <w:rFonts w:cstheme="minorHAnsi"/>
        </w:rPr>
        <w:t xml:space="preserve">Integracja </w:t>
      </w:r>
      <w:r w:rsidR="00102A89" w:rsidRPr="00B82A36">
        <w:rPr>
          <w:rFonts w:cstheme="minorHAnsi"/>
        </w:rPr>
        <w:t>działalności Spółk</w:t>
      </w:r>
      <w:r w:rsidR="00B028BC" w:rsidRPr="00B82A36">
        <w:rPr>
          <w:rFonts w:cstheme="minorHAnsi"/>
        </w:rPr>
        <w:t>i</w:t>
      </w:r>
      <w:r w:rsidR="00102A89" w:rsidRPr="00B82A36">
        <w:rPr>
          <w:rFonts w:cstheme="minorHAnsi"/>
        </w:rPr>
        <w:t xml:space="preserve"> </w:t>
      </w:r>
      <w:r w:rsidR="00CB556B" w:rsidRPr="00B82A36">
        <w:rPr>
          <w:rFonts w:cstheme="minorHAnsi"/>
        </w:rPr>
        <w:t>Przejmując</w:t>
      </w:r>
      <w:r w:rsidR="00B028BC" w:rsidRPr="00B82A36">
        <w:rPr>
          <w:rFonts w:cstheme="minorHAnsi"/>
        </w:rPr>
        <w:t>ej</w:t>
      </w:r>
      <w:r w:rsidR="00CB556B" w:rsidRPr="00B82A36">
        <w:rPr>
          <w:rFonts w:cstheme="minorHAnsi"/>
        </w:rPr>
        <w:t xml:space="preserve"> </w:t>
      </w:r>
      <w:r w:rsidR="00102A89" w:rsidRPr="00B82A36">
        <w:rPr>
          <w:rFonts w:cstheme="minorHAnsi"/>
        </w:rPr>
        <w:t>i Spółk</w:t>
      </w:r>
      <w:r w:rsidR="00B028BC" w:rsidRPr="00B82A36">
        <w:rPr>
          <w:rFonts w:cstheme="minorHAnsi"/>
        </w:rPr>
        <w:t>i</w:t>
      </w:r>
      <w:r w:rsidR="00102A89" w:rsidRPr="00B82A36">
        <w:rPr>
          <w:rFonts w:cstheme="minorHAnsi"/>
        </w:rPr>
        <w:t xml:space="preserve"> </w:t>
      </w:r>
      <w:r w:rsidR="00B028BC" w:rsidRPr="00B82A36">
        <w:rPr>
          <w:rFonts w:cstheme="minorHAnsi"/>
        </w:rPr>
        <w:t>Przejmowanej</w:t>
      </w:r>
      <w:r w:rsidRPr="00B82A36">
        <w:rPr>
          <w:rFonts w:cstheme="minorHAnsi"/>
        </w:rPr>
        <w:t xml:space="preserve"> nast</w:t>
      </w:r>
      <w:r w:rsidR="00102A89" w:rsidRPr="00B82A36">
        <w:rPr>
          <w:rFonts w:cstheme="minorHAnsi"/>
        </w:rPr>
        <w:t>ą</w:t>
      </w:r>
      <w:r w:rsidRPr="00B82A36">
        <w:rPr>
          <w:rFonts w:cstheme="minorHAnsi"/>
        </w:rPr>
        <w:t>pi na podstawie</w:t>
      </w:r>
      <w:r w:rsidR="00576203">
        <w:rPr>
          <w:rFonts w:cstheme="minorHAnsi"/>
        </w:rPr>
        <w:br/>
      </w:r>
      <w:r w:rsidRPr="00B82A36">
        <w:rPr>
          <w:rFonts w:cstheme="minorHAnsi"/>
        </w:rPr>
        <w:t xml:space="preserve">art. </w:t>
      </w:r>
      <w:r w:rsidR="00B028BC" w:rsidRPr="00B82A36">
        <w:rPr>
          <w:rFonts w:cstheme="minorHAnsi"/>
        </w:rPr>
        <w:t>492</w:t>
      </w:r>
      <w:r w:rsidRPr="00B82A36">
        <w:rPr>
          <w:rFonts w:cstheme="minorHAnsi"/>
        </w:rPr>
        <w:t xml:space="preserve"> § 1 pkt </w:t>
      </w:r>
      <w:r w:rsidR="00B028BC" w:rsidRPr="00B82A36">
        <w:rPr>
          <w:rFonts w:cstheme="minorHAnsi"/>
        </w:rPr>
        <w:t>1</w:t>
      </w:r>
      <w:r w:rsidRPr="00B82A36">
        <w:rPr>
          <w:rFonts w:cstheme="minorHAnsi"/>
        </w:rPr>
        <w:t xml:space="preserve"> </w:t>
      </w:r>
      <w:r w:rsidR="002B4BC2">
        <w:rPr>
          <w:rFonts w:cstheme="minorHAnsi"/>
        </w:rPr>
        <w:t>KSH</w:t>
      </w:r>
      <w:r w:rsidRPr="00B82A36">
        <w:rPr>
          <w:rFonts w:cstheme="minorHAnsi"/>
        </w:rPr>
        <w:t xml:space="preserve">, przez przeniesienie </w:t>
      </w:r>
      <w:r w:rsidR="00B028BC" w:rsidRPr="00B82A36">
        <w:rPr>
          <w:rFonts w:cstheme="minorHAnsi"/>
        </w:rPr>
        <w:t>cał</w:t>
      </w:r>
      <w:r w:rsidR="00071A52" w:rsidRPr="00B82A36">
        <w:rPr>
          <w:rFonts w:cstheme="minorHAnsi"/>
        </w:rPr>
        <w:t>e</w:t>
      </w:r>
      <w:r w:rsidR="00B028BC" w:rsidRPr="00B82A36">
        <w:rPr>
          <w:rFonts w:cstheme="minorHAnsi"/>
        </w:rPr>
        <w:t>go</w:t>
      </w:r>
      <w:r w:rsidRPr="00B82A36">
        <w:rPr>
          <w:rFonts w:cstheme="minorHAnsi"/>
        </w:rPr>
        <w:t xml:space="preserve"> maj</w:t>
      </w:r>
      <w:r w:rsidR="00102A89" w:rsidRPr="00B82A36">
        <w:rPr>
          <w:rFonts w:cstheme="minorHAnsi"/>
        </w:rPr>
        <w:t>ą</w:t>
      </w:r>
      <w:r w:rsidRPr="00B82A36">
        <w:rPr>
          <w:rFonts w:cstheme="minorHAnsi"/>
        </w:rPr>
        <w:t>tku</w:t>
      </w:r>
      <w:r w:rsidR="002822A0" w:rsidRPr="00B82A36">
        <w:rPr>
          <w:rFonts w:cstheme="minorHAnsi"/>
        </w:rPr>
        <w:t xml:space="preserve"> </w:t>
      </w:r>
      <w:r w:rsidR="00102A89" w:rsidRPr="00B82A36">
        <w:rPr>
          <w:rFonts w:cstheme="minorHAnsi"/>
        </w:rPr>
        <w:t xml:space="preserve">Spółki </w:t>
      </w:r>
      <w:r w:rsidR="00B028BC" w:rsidRPr="00B82A36">
        <w:rPr>
          <w:rFonts w:cstheme="minorHAnsi"/>
        </w:rPr>
        <w:t xml:space="preserve">Przejmowanej </w:t>
      </w:r>
      <w:r w:rsidR="00102A89" w:rsidRPr="00B82A36">
        <w:rPr>
          <w:rFonts w:cstheme="minorHAnsi"/>
        </w:rPr>
        <w:t xml:space="preserve">na Spółkę </w:t>
      </w:r>
      <w:r w:rsidR="00CB556B" w:rsidRPr="00B82A36">
        <w:rPr>
          <w:rFonts w:cstheme="minorHAnsi"/>
        </w:rPr>
        <w:t xml:space="preserve">Przejmującą </w:t>
      </w:r>
      <w:r w:rsidR="00102A89" w:rsidRPr="00B82A36">
        <w:rPr>
          <w:rFonts w:cstheme="minorHAnsi"/>
        </w:rPr>
        <w:t xml:space="preserve">w zamian za </w:t>
      </w:r>
      <w:r w:rsidR="00882ED9">
        <w:rPr>
          <w:rFonts w:cstheme="minorHAnsi"/>
        </w:rPr>
        <w:t xml:space="preserve">nowo wyemitowane </w:t>
      </w:r>
      <w:r w:rsidR="00102A89" w:rsidRPr="00B82A36">
        <w:rPr>
          <w:rFonts w:cstheme="minorHAnsi"/>
        </w:rPr>
        <w:t>akcj</w:t>
      </w:r>
      <w:r w:rsidR="00B028BC" w:rsidRPr="00B82A36">
        <w:rPr>
          <w:rFonts w:cstheme="minorHAnsi"/>
        </w:rPr>
        <w:t>e</w:t>
      </w:r>
      <w:r w:rsidR="00102A89" w:rsidRPr="00B82A36">
        <w:rPr>
          <w:rFonts w:cstheme="minorHAnsi"/>
        </w:rPr>
        <w:t xml:space="preserve"> serii </w:t>
      </w:r>
      <w:r w:rsidR="00B04F08">
        <w:rPr>
          <w:rFonts w:cstheme="minorHAnsi"/>
        </w:rPr>
        <w:t>F</w:t>
      </w:r>
      <w:r w:rsidR="00102A89" w:rsidRPr="00B82A36">
        <w:rPr>
          <w:rFonts w:cstheme="minorHAnsi"/>
        </w:rPr>
        <w:t xml:space="preserve"> Spółki</w:t>
      </w:r>
      <w:r w:rsidR="009D204C">
        <w:rPr>
          <w:rFonts w:cstheme="minorHAnsi"/>
        </w:rPr>
        <w:t xml:space="preserve"> Przejmującej</w:t>
      </w:r>
      <w:r w:rsidR="00102A89" w:rsidRPr="00B82A36">
        <w:rPr>
          <w:rFonts w:cstheme="minorHAnsi"/>
        </w:rPr>
        <w:t>, któr</w:t>
      </w:r>
      <w:r w:rsidR="00B028BC" w:rsidRPr="00B82A36">
        <w:rPr>
          <w:rFonts w:cstheme="minorHAnsi"/>
        </w:rPr>
        <w:t>e</w:t>
      </w:r>
      <w:r w:rsidRPr="00B82A36">
        <w:rPr>
          <w:rFonts w:cstheme="minorHAnsi"/>
        </w:rPr>
        <w:t xml:space="preserve"> </w:t>
      </w:r>
      <w:r w:rsidR="00327FBA">
        <w:rPr>
          <w:rFonts w:cstheme="minorHAnsi"/>
        </w:rPr>
        <w:t>zostaną wydane</w:t>
      </w:r>
      <w:r w:rsidRPr="00B82A36">
        <w:rPr>
          <w:rFonts w:cstheme="minorHAnsi"/>
        </w:rPr>
        <w:t xml:space="preserve"> </w:t>
      </w:r>
      <w:r w:rsidR="00327FBA">
        <w:rPr>
          <w:rFonts w:cstheme="minorHAnsi"/>
        </w:rPr>
        <w:t>akcjonariuszom</w:t>
      </w:r>
      <w:r w:rsidR="00102A89" w:rsidRPr="00B82A36">
        <w:rPr>
          <w:rFonts w:cstheme="minorHAnsi"/>
        </w:rPr>
        <w:t xml:space="preserve"> Spółki </w:t>
      </w:r>
      <w:r w:rsidR="00B028BC" w:rsidRPr="00B82A36">
        <w:rPr>
          <w:rFonts w:cstheme="minorHAnsi"/>
        </w:rPr>
        <w:t>Przejmowanej</w:t>
      </w:r>
      <w:r w:rsidR="005879AE">
        <w:rPr>
          <w:rFonts w:cstheme="minorHAnsi"/>
        </w:rPr>
        <w:t xml:space="preserve"> (dalej: „</w:t>
      </w:r>
      <w:r w:rsidR="005879AE">
        <w:rPr>
          <w:rFonts w:cstheme="minorHAnsi"/>
          <w:b/>
          <w:bCs/>
        </w:rPr>
        <w:t>Akcje Emisji Połączeniowej</w:t>
      </w:r>
      <w:r w:rsidR="005879AE">
        <w:rPr>
          <w:rFonts w:cstheme="minorHAnsi"/>
        </w:rPr>
        <w:t>”)</w:t>
      </w:r>
      <w:r w:rsidR="00102A89" w:rsidRPr="00B82A36">
        <w:rPr>
          <w:rFonts w:cstheme="minorHAnsi"/>
        </w:rPr>
        <w:t xml:space="preserve">. </w:t>
      </w:r>
    </w:p>
    <w:bookmarkEnd w:id="5"/>
    <w:p w14:paraId="0FCC6557" w14:textId="77777777" w:rsidR="00475965" w:rsidRPr="005A7E55" w:rsidRDefault="00475965" w:rsidP="004759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7DE9FA11">
        <w:lastRenderedPageBreak/>
        <w:t xml:space="preserve">Zamiar integracji Spółki Przejmującej i Spółki Przejmowanej został </w:t>
      </w:r>
      <w:r>
        <w:t xml:space="preserve">wyrażony w Planie Połączenia, który </w:t>
      </w:r>
      <w:r w:rsidRPr="7DE9FA11">
        <w:t xml:space="preserve">w dniu 28 września 2021 roku </w:t>
      </w:r>
      <w:r>
        <w:t xml:space="preserve">został </w:t>
      </w:r>
      <w:r w:rsidRPr="7DE9FA11">
        <w:t xml:space="preserve">ogłoszony </w:t>
      </w:r>
      <w:bookmarkStart w:id="6" w:name="_Hlk25517864"/>
      <w:r w:rsidRPr="7DE9FA11">
        <w:t xml:space="preserve">przez Spółkę </w:t>
      </w:r>
      <w:bookmarkEnd w:id="6"/>
      <w:r>
        <w:t xml:space="preserve">Przejmującą i Spółkę Przejmowaną </w:t>
      </w:r>
      <w:r w:rsidRPr="7DE9FA11">
        <w:t>poprzez jego bezpłatne udostępnienie do publicznej wiadomości na stronach internetowych łączących się spółek</w:t>
      </w:r>
      <w:r>
        <w:t>.</w:t>
      </w:r>
    </w:p>
    <w:p w14:paraId="78ECC28D" w14:textId="77777777" w:rsidR="009478A4" w:rsidRPr="00B82A36" w:rsidRDefault="009478A4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E4A9D06" w14:textId="0B346A6C" w:rsidR="002822A0" w:rsidRPr="00B82A36" w:rsidRDefault="002822A0" w:rsidP="001F14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bookmarkStart w:id="7" w:name="_Hlk77940545"/>
      <w:r w:rsidRPr="00B82A36">
        <w:rPr>
          <w:rFonts w:cstheme="minorHAnsi"/>
        </w:rPr>
        <w:t xml:space="preserve">Plan </w:t>
      </w:r>
      <w:r w:rsidR="00C87E9C" w:rsidRPr="00B82A36">
        <w:rPr>
          <w:rFonts w:cstheme="minorHAnsi"/>
        </w:rPr>
        <w:t>Połączenia</w:t>
      </w:r>
      <w:r w:rsidRPr="00B82A36">
        <w:rPr>
          <w:rFonts w:cstheme="minorHAnsi"/>
        </w:rPr>
        <w:t xml:space="preserve"> będzie udostę</w:t>
      </w:r>
      <w:r w:rsidR="001A0FDA" w:rsidRPr="00B82A36">
        <w:rPr>
          <w:rFonts w:cstheme="minorHAnsi"/>
        </w:rPr>
        <w:t>p</w:t>
      </w:r>
      <w:r w:rsidRPr="00B82A36">
        <w:rPr>
          <w:rFonts w:cstheme="minorHAnsi"/>
        </w:rPr>
        <w:t xml:space="preserve">niony nieprzerwanie do dnia zakończenia Walnego Zgromadzenia Spółki </w:t>
      </w:r>
      <w:r w:rsidR="00CB556B" w:rsidRPr="00B82A36">
        <w:rPr>
          <w:rFonts w:cstheme="minorHAnsi"/>
        </w:rPr>
        <w:t xml:space="preserve">Przejmującej </w:t>
      </w:r>
      <w:r w:rsidRPr="00B82A36">
        <w:rPr>
          <w:rFonts w:cstheme="minorHAnsi"/>
        </w:rPr>
        <w:t xml:space="preserve">oraz </w:t>
      </w:r>
      <w:r w:rsidR="00DD495C" w:rsidRPr="00B82A36">
        <w:rPr>
          <w:rFonts w:cstheme="minorHAnsi"/>
        </w:rPr>
        <w:t>Walnego Zgromadzenia</w:t>
      </w:r>
      <w:r w:rsidR="007259BD">
        <w:rPr>
          <w:rFonts w:cstheme="minorHAnsi"/>
        </w:rPr>
        <w:t xml:space="preserve"> </w:t>
      </w:r>
      <w:r w:rsidRPr="00B82A36">
        <w:rPr>
          <w:rFonts w:cstheme="minorHAnsi"/>
        </w:rPr>
        <w:t xml:space="preserve">Spółki </w:t>
      </w:r>
      <w:r w:rsidR="00C87E9C" w:rsidRPr="00B82A36">
        <w:rPr>
          <w:rFonts w:cstheme="minorHAnsi"/>
        </w:rPr>
        <w:t>Przejmowanej</w:t>
      </w:r>
      <w:r w:rsidRPr="00B82A36">
        <w:rPr>
          <w:rFonts w:cstheme="minorHAnsi"/>
        </w:rPr>
        <w:t xml:space="preserve">, podejmujących uchwały w sprawie </w:t>
      </w:r>
      <w:r w:rsidR="00C17EC4">
        <w:rPr>
          <w:rFonts w:cstheme="minorHAnsi"/>
        </w:rPr>
        <w:t>P</w:t>
      </w:r>
      <w:r w:rsidR="00C87E9C" w:rsidRPr="00B82A36">
        <w:rPr>
          <w:rFonts w:cstheme="minorHAnsi"/>
        </w:rPr>
        <w:t>ołączenia</w:t>
      </w:r>
      <w:r w:rsidRPr="00B82A36">
        <w:rPr>
          <w:rFonts w:cstheme="minorHAnsi"/>
        </w:rPr>
        <w:t xml:space="preserve">, zgodnie z art. </w:t>
      </w:r>
      <w:r w:rsidR="00C87E9C" w:rsidRPr="00B82A36">
        <w:rPr>
          <w:rFonts w:cstheme="minorHAnsi"/>
        </w:rPr>
        <w:t>506</w:t>
      </w:r>
      <w:r w:rsidRPr="00B82A36">
        <w:rPr>
          <w:rFonts w:cstheme="minorHAnsi"/>
        </w:rPr>
        <w:t xml:space="preserve"> </w:t>
      </w:r>
      <w:r w:rsidR="002B4BC2">
        <w:rPr>
          <w:rFonts w:cstheme="minorHAnsi"/>
        </w:rPr>
        <w:t>KSH.</w:t>
      </w:r>
    </w:p>
    <w:bookmarkEnd w:id="7"/>
    <w:p w14:paraId="5F76AA99" w14:textId="77777777" w:rsidR="00BC446F" w:rsidRPr="00B82A36" w:rsidRDefault="00BC446F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67B8AFE" w14:textId="29A67402" w:rsidR="00BC446F" w:rsidRPr="00B82A36" w:rsidRDefault="00BC446F" w:rsidP="001F14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bookmarkStart w:id="8" w:name="_Hlk77940678"/>
      <w:r w:rsidRPr="00B82A36">
        <w:rPr>
          <w:rFonts w:cstheme="minorHAnsi"/>
        </w:rPr>
        <w:t xml:space="preserve">Formalną podstawę </w:t>
      </w:r>
      <w:r w:rsidR="00C17EC4">
        <w:rPr>
          <w:rFonts w:cstheme="minorHAnsi"/>
        </w:rPr>
        <w:t>P</w:t>
      </w:r>
      <w:r w:rsidR="00C87E9C" w:rsidRPr="00B82A36">
        <w:rPr>
          <w:rFonts w:cstheme="minorHAnsi"/>
        </w:rPr>
        <w:t>ołączenia</w:t>
      </w:r>
      <w:r w:rsidRPr="00B82A36">
        <w:rPr>
          <w:rFonts w:cstheme="minorHAnsi"/>
        </w:rPr>
        <w:t xml:space="preserve"> stanowić będą zgodne uchwały Walnego Zgromadzenia Spółki Przejmującej oraz </w:t>
      </w:r>
      <w:r w:rsidR="00DD495C" w:rsidRPr="00B82A36">
        <w:rPr>
          <w:rFonts w:cstheme="minorHAnsi"/>
        </w:rPr>
        <w:t xml:space="preserve">Walnego Zgromadzenia </w:t>
      </w:r>
      <w:r w:rsidRPr="00B82A36">
        <w:rPr>
          <w:rFonts w:cstheme="minorHAnsi"/>
        </w:rPr>
        <w:t xml:space="preserve">Spółki </w:t>
      </w:r>
      <w:r w:rsidR="00C87E9C" w:rsidRPr="00B82A36">
        <w:rPr>
          <w:rFonts w:cstheme="minorHAnsi"/>
        </w:rPr>
        <w:t>Przejmowanej</w:t>
      </w:r>
      <w:r w:rsidRPr="00B82A36">
        <w:rPr>
          <w:rFonts w:cstheme="minorHAnsi"/>
        </w:rPr>
        <w:t xml:space="preserve">, zawierające zgodę organów właścicielskich obu Spółek na dokonanie </w:t>
      </w:r>
      <w:r w:rsidR="00C17EC4">
        <w:rPr>
          <w:rFonts w:cstheme="minorHAnsi"/>
        </w:rPr>
        <w:t>P</w:t>
      </w:r>
      <w:r w:rsidR="00C87E9C" w:rsidRPr="00B82A36">
        <w:rPr>
          <w:rFonts w:cstheme="minorHAnsi"/>
        </w:rPr>
        <w:t>ołączenia</w:t>
      </w:r>
      <w:r w:rsidRPr="00B82A36">
        <w:rPr>
          <w:rFonts w:cstheme="minorHAnsi"/>
        </w:rPr>
        <w:t xml:space="preserve"> oraz przedstawiony Plan </w:t>
      </w:r>
      <w:r w:rsidR="00C87E9C" w:rsidRPr="00B82A36">
        <w:rPr>
          <w:rFonts w:cstheme="minorHAnsi"/>
        </w:rPr>
        <w:t>Połączenia</w:t>
      </w:r>
      <w:r w:rsidR="002B4BC2">
        <w:rPr>
          <w:rFonts w:cstheme="minorHAnsi"/>
        </w:rPr>
        <w:t xml:space="preserve">, podjęte </w:t>
      </w:r>
      <w:r w:rsidR="002B4BC2" w:rsidRPr="00B82A36">
        <w:rPr>
          <w:rFonts w:cstheme="minorHAnsi"/>
        </w:rPr>
        <w:t xml:space="preserve">na zasadach określonych w art. 506 </w:t>
      </w:r>
      <w:r w:rsidR="00F922EA">
        <w:rPr>
          <w:rFonts w:cstheme="minorHAnsi"/>
        </w:rPr>
        <w:t>KSH.</w:t>
      </w:r>
      <w:r w:rsidRPr="00B82A36">
        <w:rPr>
          <w:rFonts w:cstheme="minorHAnsi"/>
        </w:rPr>
        <w:t xml:space="preserve"> Podczas </w:t>
      </w:r>
      <w:r w:rsidR="00264552">
        <w:rPr>
          <w:rFonts w:cstheme="minorHAnsi"/>
        </w:rPr>
        <w:t xml:space="preserve">Walnego </w:t>
      </w:r>
      <w:r w:rsidRPr="00B82A36">
        <w:rPr>
          <w:rFonts w:cstheme="minorHAnsi"/>
        </w:rPr>
        <w:t xml:space="preserve">Zgromadzenia Spółki </w:t>
      </w:r>
      <w:r w:rsidR="00C87E9C" w:rsidRPr="00B82A36">
        <w:rPr>
          <w:rFonts w:cstheme="minorHAnsi"/>
        </w:rPr>
        <w:t>Przejmowanej</w:t>
      </w:r>
      <w:r w:rsidRPr="00B82A36">
        <w:rPr>
          <w:rFonts w:cstheme="minorHAnsi"/>
        </w:rPr>
        <w:t xml:space="preserve"> podjęta zostanie uchwała o wyrażeniu zgody na </w:t>
      </w:r>
      <w:r w:rsidR="00C17EC4">
        <w:rPr>
          <w:rFonts w:cstheme="minorHAnsi"/>
        </w:rPr>
        <w:t>P</w:t>
      </w:r>
      <w:r w:rsidR="00C87E9C" w:rsidRPr="00B82A36">
        <w:rPr>
          <w:rFonts w:cstheme="minorHAnsi"/>
        </w:rPr>
        <w:t>ołączenie oraz</w:t>
      </w:r>
      <w:r w:rsidRPr="00B82A36">
        <w:rPr>
          <w:rFonts w:cstheme="minorHAnsi"/>
        </w:rPr>
        <w:t xml:space="preserve"> o wyrażeniu zgody na zmianę statutu Spółki Przejmującej, zgodnie z projekt</w:t>
      </w:r>
      <w:r w:rsidR="0020620B" w:rsidRPr="00B82A36">
        <w:rPr>
          <w:rFonts w:cstheme="minorHAnsi"/>
        </w:rPr>
        <w:t>em</w:t>
      </w:r>
      <w:r w:rsidRPr="00B82A36">
        <w:rPr>
          <w:rFonts w:cstheme="minorHAnsi"/>
        </w:rPr>
        <w:t xml:space="preserve"> stanowiącym załącznik do Planu </w:t>
      </w:r>
      <w:r w:rsidR="00C80990" w:rsidRPr="00B82A36">
        <w:rPr>
          <w:rFonts w:cstheme="minorHAnsi"/>
        </w:rPr>
        <w:t>Połączenia</w:t>
      </w:r>
      <w:r w:rsidRPr="00B82A36">
        <w:rPr>
          <w:rFonts w:cstheme="minorHAnsi"/>
        </w:rPr>
        <w:t xml:space="preserve">. Podczas Walnego Zgromadzenia Spółki Przejmującej podjęta zostanie uchwała o wyrażeniu zgody na </w:t>
      </w:r>
      <w:r w:rsidR="00C17EC4">
        <w:rPr>
          <w:rFonts w:cstheme="minorHAnsi"/>
        </w:rPr>
        <w:t>P</w:t>
      </w:r>
      <w:r w:rsidR="0020620B" w:rsidRPr="00B82A36">
        <w:rPr>
          <w:rFonts w:cstheme="minorHAnsi"/>
        </w:rPr>
        <w:t>ołączenie</w:t>
      </w:r>
      <w:r w:rsidRPr="00B82A36">
        <w:rPr>
          <w:rFonts w:cstheme="minorHAnsi"/>
        </w:rPr>
        <w:t xml:space="preserve"> oraz uchwała w sprawie zmiany statutu Spółki Przejmującej, zgodnie z projekt</w:t>
      </w:r>
      <w:r w:rsidR="0020620B" w:rsidRPr="00B82A36">
        <w:rPr>
          <w:rFonts w:cstheme="minorHAnsi"/>
        </w:rPr>
        <w:t>em</w:t>
      </w:r>
      <w:r w:rsidRPr="00B82A36">
        <w:rPr>
          <w:rFonts w:cstheme="minorHAnsi"/>
        </w:rPr>
        <w:t xml:space="preserve"> stanowiącym załącznik do Planu </w:t>
      </w:r>
      <w:r w:rsidR="00C80990" w:rsidRPr="00B82A36">
        <w:rPr>
          <w:rFonts w:cstheme="minorHAnsi"/>
        </w:rPr>
        <w:t>Połączenia</w:t>
      </w:r>
      <w:r w:rsidRPr="00B82A36">
        <w:rPr>
          <w:rFonts w:cstheme="minorHAnsi"/>
        </w:rPr>
        <w:t>.</w:t>
      </w:r>
    </w:p>
    <w:bookmarkEnd w:id="8"/>
    <w:p w14:paraId="2C902331" w14:textId="77777777" w:rsidR="00BC446F" w:rsidRPr="00B82A36" w:rsidRDefault="00BC446F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69FEC60" w14:textId="61E6583C" w:rsidR="0020620B" w:rsidRPr="00B82A36" w:rsidRDefault="00BC446F" w:rsidP="001F14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B82A36">
        <w:rPr>
          <w:rFonts w:cstheme="minorHAnsi"/>
        </w:rPr>
        <w:t xml:space="preserve">Nie jest wymagane zgłoszenie Prezesowi Urzędu Ochrony Konkurencji i Konsumentów zamiaru koncentracji oraz uzyskanie decyzji </w:t>
      </w:r>
      <w:r w:rsidR="002F606B">
        <w:rPr>
          <w:rFonts w:cstheme="minorHAnsi"/>
        </w:rPr>
        <w:t xml:space="preserve">ww. podmiotu </w:t>
      </w:r>
      <w:r w:rsidRPr="00B82A36">
        <w:rPr>
          <w:rFonts w:cstheme="minorHAnsi"/>
        </w:rPr>
        <w:t xml:space="preserve">wyrażającej zgodę na taką koncentrację ze względu na wyłączenie wskazane w art. 14 pkt </w:t>
      </w:r>
      <w:r w:rsidR="0020620B" w:rsidRPr="00B82A36">
        <w:rPr>
          <w:rFonts w:cstheme="minorHAnsi"/>
        </w:rPr>
        <w:t>1a</w:t>
      </w:r>
      <w:r w:rsidRPr="00B82A36">
        <w:rPr>
          <w:rFonts w:cstheme="minorHAnsi"/>
        </w:rPr>
        <w:t xml:space="preserve"> ustawy z dnia 16 lutego 2007 r. o ochronie konkurencji i konsumentów (Dz.U. Nr 50, poz. 331, z późn. zm.), który stanowi, że nie podlega zgłoszeniu do Prezesa Urzędu Ochrony Konkurencji i Konsumentów </w:t>
      </w:r>
      <w:r w:rsidR="0020620B" w:rsidRPr="00B82A36">
        <w:rPr>
          <w:rFonts w:cstheme="minorHAnsi"/>
        </w:rPr>
        <w:t>połączenie dwóch lub więcej samodzielnych przedsiębiorców, jeżeli obrót żadnego z przedsiębiorców nie przekroczył na terytorium Rzeczypospolitej Polskiej w żadnym z dwóch lat obrotowych poprzedzających zgłoszenie równowartości 10 000 000 euro.</w:t>
      </w:r>
    </w:p>
    <w:p w14:paraId="603BE2D5" w14:textId="77777777" w:rsidR="0020620B" w:rsidRPr="00B82A36" w:rsidRDefault="0020620B" w:rsidP="001F146A">
      <w:pPr>
        <w:pStyle w:val="Akapitzlist"/>
        <w:spacing w:line="276" w:lineRule="auto"/>
        <w:rPr>
          <w:rFonts w:cstheme="minorHAnsi"/>
        </w:rPr>
      </w:pPr>
    </w:p>
    <w:p w14:paraId="0E2B9E9F" w14:textId="20C03B9C" w:rsidR="00BC446F" w:rsidRPr="00B82A36" w:rsidRDefault="009A6FB0" w:rsidP="4A3C7A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</w:pPr>
      <w:bookmarkStart w:id="9" w:name="_Hlk77940701"/>
      <w:r w:rsidRPr="4A3C7A14">
        <w:t xml:space="preserve">Po podjęciu uchwał o wyrażeniu zgody na </w:t>
      </w:r>
      <w:r w:rsidR="00C17EC4">
        <w:t>P</w:t>
      </w:r>
      <w:r w:rsidRPr="4A3C7A14">
        <w:t xml:space="preserve">ołączenie Zarządy obu Spółek złożą do właściwego dla swojej siedziby sądu rejestrowego, wnioski o wpisanie wzmianki o podjęciu uchwały o wyrażeniu zgody na </w:t>
      </w:r>
      <w:r w:rsidR="00C17EC4">
        <w:t>P</w:t>
      </w:r>
      <w:r w:rsidRPr="4A3C7A14">
        <w:t xml:space="preserve">ołączenie, </w:t>
      </w:r>
      <w:r w:rsidR="005F729D" w:rsidRPr="4A3C7A14">
        <w:t xml:space="preserve">przy czym Zarząd Spółki Przejmowanej wskaże, że </w:t>
      </w:r>
      <w:r w:rsidRPr="4A3C7A14">
        <w:t xml:space="preserve">uczestniczy w </w:t>
      </w:r>
      <w:r w:rsidR="00C17EC4">
        <w:t>P</w:t>
      </w:r>
      <w:r w:rsidR="005F729D" w:rsidRPr="4A3C7A14">
        <w:t>ołączeniu</w:t>
      </w:r>
      <w:r w:rsidRPr="4A3C7A14">
        <w:t xml:space="preserve"> jako spółka przejmowana w rozumieniu art. </w:t>
      </w:r>
      <w:r w:rsidR="005F729D" w:rsidRPr="4A3C7A14">
        <w:t>4</w:t>
      </w:r>
      <w:r w:rsidRPr="4A3C7A14">
        <w:t xml:space="preserve">92 § 1 pkt 1 </w:t>
      </w:r>
      <w:r w:rsidR="00914D46">
        <w:t xml:space="preserve">KSH </w:t>
      </w:r>
      <w:r w:rsidRPr="4A3C7A14">
        <w:t xml:space="preserve">Zarząd Spółki Przejmującej złoży </w:t>
      </w:r>
      <w:r w:rsidR="00E351EB">
        <w:t xml:space="preserve">zaś </w:t>
      </w:r>
      <w:r w:rsidRPr="4A3C7A14">
        <w:t>wniosek o wpis podwyższenia kapitału zakładowego Spółki Przejmującej</w:t>
      </w:r>
      <w:r w:rsidR="00285DF2">
        <w:t xml:space="preserve">, dokładnego w ramach </w:t>
      </w:r>
      <w:r w:rsidR="00C17EC4">
        <w:t>P</w:t>
      </w:r>
      <w:r w:rsidR="00285DF2">
        <w:t>ołączenia</w:t>
      </w:r>
      <w:r w:rsidRPr="4A3C7A14">
        <w:t xml:space="preserve">, ze wskazaniem, że Spółka Przejmująca uczestniczy w </w:t>
      </w:r>
      <w:r w:rsidR="00C17EC4">
        <w:t>P</w:t>
      </w:r>
      <w:r w:rsidR="45675866" w:rsidRPr="4A3C7A14">
        <w:t xml:space="preserve">ołączeniu </w:t>
      </w:r>
      <w:r w:rsidRPr="4A3C7A14">
        <w:t xml:space="preserve">jako spółka przejmująca w rozumieniu art. 492 § 1 pkt 1 </w:t>
      </w:r>
      <w:r w:rsidR="00914D46">
        <w:t>KSH</w:t>
      </w:r>
      <w:r w:rsidRPr="4A3C7A14">
        <w:t xml:space="preserve"> Moment wpisu podwyższenia kapitału zakładowego Spółki Przejmującej </w:t>
      </w:r>
      <w:r w:rsidR="001D1CD4">
        <w:t xml:space="preserve">do rejestru przedsiębiorców Krajowego </w:t>
      </w:r>
      <w:r w:rsidR="00914D46">
        <w:t>Rejestru</w:t>
      </w:r>
      <w:r w:rsidR="001D1CD4">
        <w:t xml:space="preserve"> Sądowego </w:t>
      </w:r>
      <w:r w:rsidRPr="4A3C7A14">
        <w:t xml:space="preserve">stanowić będzie </w:t>
      </w:r>
      <w:r w:rsidR="00285DF2">
        <w:t>„</w:t>
      </w:r>
      <w:r w:rsidR="00285DF2" w:rsidRPr="001D1CD4">
        <w:rPr>
          <w:b/>
          <w:bCs/>
        </w:rPr>
        <w:t>D</w:t>
      </w:r>
      <w:r w:rsidRPr="001D1CD4">
        <w:rPr>
          <w:b/>
          <w:bCs/>
        </w:rPr>
        <w:t xml:space="preserve">zień </w:t>
      </w:r>
      <w:r w:rsidR="00285DF2" w:rsidRPr="001D1CD4">
        <w:rPr>
          <w:b/>
          <w:bCs/>
        </w:rPr>
        <w:t>P</w:t>
      </w:r>
      <w:r w:rsidRPr="001D1CD4">
        <w:rPr>
          <w:b/>
          <w:bCs/>
        </w:rPr>
        <w:t>ołączenia</w:t>
      </w:r>
      <w:r w:rsidR="00285DF2">
        <w:t>”</w:t>
      </w:r>
      <w:r w:rsidR="00BC446F" w:rsidRPr="4A3C7A14">
        <w:t>.</w:t>
      </w:r>
      <w:bookmarkEnd w:id="9"/>
    </w:p>
    <w:p w14:paraId="3A70FB06" w14:textId="77777777" w:rsidR="00BC446F" w:rsidRPr="00B82A36" w:rsidRDefault="00BC446F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7DA2B19" w14:textId="65C35EBE" w:rsidR="00BC446F" w:rsidRPr="00B82A36" w:rsidRDefault="00BC446F" w:rsidP="001F14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B82A36">
        <w:rPr>
          <w:rFonts w:cstheme="minorHAnsi"/>
        </w:rPr>
        <w:t xml:space="preserve">W wyniku </w:t>
      </w:r>
      <w:r w:rsidR="00903B3A">
        <w:rPr>
          <w:rFonts w:cstheme="minorHAnsi"/>
        </w:rPr>
        <w:t>P</w:t>
      </w:r>
      <w:r w:rsidR="00EC02E4" w:rsidRPr="00B82A36">
        <w:rPr>
          <w:rFonts w:cstheme="minorHAnsi"/>
        </w:rPr>
        <w:t>ołączenia</w:t>
      </w:r>
      <w:r w:rsidRPr="00B82A36">
        <w:rPr>
          <w:rFonts w:cstheme="minorHAnsi"/>
        </w:rPr>
        <w:t xml:space="preserve"> Spółka Przejmująca, zgodnie z treścią art. </w:t>
      </w:r>
      <w:r w:rsidR="00EC02E4" w:rsidRPr="00B82A36">
        <w:rPr>
          <w:rFonts w:cstheme="minorHAnsi"/>
        </w:rPr>
        <w:t>494</w:t>
      </w:r>
      <w:r w:rsidRPr="00B82A36">
        <w:rPr>
          <w:rFonts w:cstheme="minorHAnsi"/>
        </w:rPr>
        <w:t xml:space="preserve"> § 1 </w:t>
      </w:r>
      <w:r w:rsidR="00914D46">
        <w:rPr>
          <w:rFonts w:cstheme="minorHAnsi"/>
        </w:rPr>
        <w:t>KSH</w:t>
      </w:r>
      <w:r w:rsidRPr="00B82A36">
        <w:rPr>
          <w:rFonts w:cstheme="minorHAnsi"/>
        </w:rPr>
        <w:t xml:space="preserve">, wstąpi z </w:t>
      </w:r>
      <w:r w:rsidR="00285DF2">
        <w:rPr>
          <w:rFonts w:cstheme="minorHAnsi"/>
        </w:rPr>
        <w:t>D</w:t>
      </w:r>
      <w:r w:rsidRPr="00B82A36">
        <w:rPr>
          <w:rFonts w:cstheme="minorHAnsi"/>
        </w:rPr>
        <w:t xml:space="preserve">niem </w:t>
      </w:r>
      <w:r w:rsidR="00285DF2">
        <w:rPr>
          <w:rFonts w:cstheme="minorHAnsi"/>
        </w:rPr>
        <w:t>P</w:t>
      </w:r>
      <w:r w:rsidR="00C80990" w:rsidRPr="00B82A36">
        <w:rPr>
          <w:rFonts w:cstheme="minorHAnsi"/>
        </w:rPr>
        <w:t>ołączenia</w:t>
      </w:r>
      <w:r w:rsidRPr="00B82A36">
        <w:rPr>
          <w:rFonts w:cstheme="minorHAnsi"/>
        </w:rPr>
        <w:t xml:space="preserve"> we wszystkie prawa i obowiązki Spółki </w:t>
      </w:r>
      <w:r w:rsidR="00EC02E4" w:rsidRPr="00B82A36">
        <w:rPr>
          <w:rFonts w:cstheme="minorHAnsi"/>
        </w:rPr>
        <w:t>Przejmowanej</w:t>
      </w:r>
      <w:r w:rsidRPr="00B82A36">
        <w:rPr>
          <w:rFonts w:cstheme="minorHAnsi"/>
        </w:rPr>
        <w:t>.</w:t>
      </w:r>
    </w:p>
    <w:p w14:paraId="07B45466" w14:textId="77777777" w:rsidR="002822A0" w:rsidRPr="00B82A36" w:rsidRDefault="002822A0" w:rsidP="001F146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C167957" w14:textId="5254F11E" w:rsidR="001F1A1E" w:rsidRPr="008244BE" w:rsidRDefault="001F1A1E" w:rsidP="00824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</w:rPr>
      </w:pPr>
      <w:r w:rsidRPr="008244BE">
        <w:rPr>
          <w:rFonts w:cstheme="minorHAnsi"/>
          <w:b/>
        </w:rPr>
        <w:t>Uzasadnienie ekonomiczne. Cele</w:t>
      </w:r>
      <w:r w:rsidR="002822A0" w:rsidRPr="008244BE">
        <w:rPr>
          <w:rFonts w:cstheme="minorHAnsi"/>
          <w:b/>
        </w:rPr>
        <w:t>,</w:t>
      </w:r>
      <w:r w:rsidRPr="008244BE">
        <w:rPr>
          <w:rFonts w:cstheme="minorHAnsi"/>
          <w:b/>
        </w:rPr>
        <w:t xml:space="preserve"> jakie zostan</w:t>
      </w:r>
      <w:r w:rsidR="002822A0" w:rsidRPr="008244BE">
        <w:rPr>
          <w:rFonts w:cstheme="minorHAnsi"/>
          <w:b/>
        </w:rPr>
        <w:t>ą</w:t>
      </w:r>
      <w:r w:rsidRPr="008244BE">
        <w:rPr>
          <w:rFonts w:cstheme="minorHAnsi"/>
          <w:b/>
        </w:rPr>
        <w:t xml:space="preserve"> osi</w:t>
      </w:r>
      <w:r w:rsidR="002822A0" w:rsidRPr="008244BE">
        <w:rPr>
          <w:rFonts w:cstheme="minorHAnsi"/>
          <w:b/>
        </w:rPr>
        <w:t>ą</w:t>
      </w:r>
      <w:r w:rsidRPr="008244BE">
        <w:rPr>
          <w:rFonts w:cstheme="minorHAnsi"/>
          <w:b/>
        </w:rPr>
        <w:t>gni</w:t>
      </w:r>
      <w:r w:rsidR="002822A0" w:rsidRPr="008244BE">
        <w:rPr>
          <w:rFonts w:cstheme="minorHAnsi"/>
          <w:b/>
        </w:rPr>
        <w:t>ę</w:t>
      </w:r>
      <w:r w:rsidRPr="008244BE">
        <w:rPr>
          <w:rFonts w:cstheme="minorHAnsi"/>
          <w:b/>
        </w:rPr>
        <w:t xml:space="preserve">te w wyniku </w:t>
      </w:r>
      <w:r w:rsidR="00903B3A" w:rsidRPr="008244BE">
        <w:rPr>
          <w:rFonts w:cstheme="minorHAnsi"/>
          <w:b/>
        </w:rPr>
        <w:t>P</w:t>
      </w:r>
      <w:r w:rsidR="00D900D4" w:rsidRPr="008244BE">
        <w:rPr>
          <w:rFonts w:cstheme="minorHAnsi"/>
          <w:b/>
        </w:rPr>
        <w:t>ołączenia</w:t>
      </w:r>
      <w:r w:rsidRPr="008244BE">
        <w:rPr>
          <w:rFonts w:cstheme="minorHAnsi"/>
          <w:b/>
        </w:rPr>
        <w:t>.</w:t>
      </w:r>
    </w:p>
    <w:p w14:paraId="7539BF7E" w14:textId="77777777" w:rsidR="002822A0" w:rsidRPr="00B82A36" w:rsidRDefault="002822A0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3742A27" w14:textId="13431917" w:rsidR="001F1A1E" w:rsidRPr="00B82A36" w:rsidRDefault="001F1A1E" w:rsidP="001F14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 xml:space="preserve">Dokonanie integracji </w:t>
      </w:r>
      <w:r w:rsidR="002822A0" w:rsidRPr="00B82A36">
        <w:rPr>
          <w:rFonts w:cstheme="minorHAnsi"/>
        </w:rPr>
        <w:t xml:space="preserve">działalności prowadzonej przez Spółkę </w:t>
      </w:r>
      <w:r w:rsidR="00CB556B" w:rsidRPr="00B82A36">
        <w:rPr>
          <w:rFonts w:cstheme="minorHAnsi"/>
        </w:rPr>
        <w:t xml:space="preserve">Przejmującą </w:t>
      </w:r>
      <w:r w:rsidR="00336CA1">
        <w:rPr>
          <w:rFonts w:cstheme="minorHAnsi"/>
        </w:rPr>
        <w:t>oraz</w:t>
      </w:r>
      <w:r w:rsidR="002822A0" w:rsidRPr="00B82A36">
        <w:rPr>
          <w:rFonts w:cstheme="minorHAnsi"/>
        </w:rPr>
        <w:t xml:space="preserve"> Spółkę </w:t>
      </w:r>
      <w:r w:rsidR="005C0ABB" w:rsidRPr="00B82A36">
        <w:rPr>
          <w:rFonts w:cstheme="minorHAnsi"/>
        </w:rPr>
        <w:t>Przejmowaną</w:t>
      </w:r>
      <w:r w:rsidR="002822A0" w:rsidRPr="00B82A36">
        <w:rPr>
          <w:rFonts w:cstheme="minorHAnsi"/>
        </w:rPr>
        <w:t xml:space="preserve"> </w:t>
      </w:r>
      <w:r w:rsidRPr="00B82A36">
        <w:rPr>
          <w:rFonts w:cstheme="minorHAnsi"/>
        </w:rPr>
        <w:t xml:space="preserve">w trybie </w:t>
      </w:r>
      <w:r w:rsidR="00336CA1">
        <w:rPr>
          <w:rFonts w:cstheme="minorHAnsi"/>
        </w:rPr>
        <w:t>przewidzianym w</w:t>
      </w:r>
      <w:r w:rsidR="002822A0" w:rsidRPr="00B82A36">
        <w:rPr>
          <w:rFonts w:cstheme="minorHAnsi"/>
        </w:rPr>
        <w:t xml:space="preserve"> art. </w:t>
      </w:r>
      <w:r w:rsidR="005C0ABB" w:rsidRPr="00B82A36">
        <w:rPr>
          <w:rFonts w:cstheme="minorHAnsi"/>
        </w:rPr>
        <w:t>492</w:t>
      </w:r>
      <w:r w:rsidR="002822A0" w:rsidRPr="00B82A36">
        <w:rPr>
          <w:rFonts w:cstheme="minorHAnsi"/>
        </w:rPr>
        <w:t xml:space="preserve"> § 1 pkt </w:t>
      </w:r>
      <w:r w:rsidR="005C0ABB" w:rsidRPr="00B82A36">
        <w:rPr>
          <w:rFonts w:cstheme="minorHAnsi"/>
        </w:rPr>
        <w:t>1</w:t>
      </w:r>
      <w:r w:rsidR="002822A0" w:rsidRPr="00B82A36">
        <w:rPr>
          <w:rFonts w:cstheme="minorHAnsi"/>
        </w:rPr>
        <w:t xml:space="preserve"> k.s.h. </w:t>
      </w:r>
      <w:r w:rsidRPr="00B82A36">
        <w:rPr>
          <w:rFonts w:cstheme="minorHAnsi"/>
        </w:rPr>
        <w:t>przyniesie korzy</w:t>
      </w:r>
      <w:r w:rsidR="002822A0" w:rsidRPr="00B82A36">
        <w:rPr>
          <w:rFonts w:cstheme="minorHAnsi"/>
        </w:rPr>
        <w:t xml:space="preserve">ści </w:t>
      </w:r>
      <w:r w:rsidRPr="00B82A36">
        <w:rPr>
          <w:rFonts w:cstheme="minorHAnsi"/>
        </w:rPr>
        <w:t>ka</w:t>
      </w:r>
      <w:r w:rsidR="002822A0" w:rsidRPr="00B82A36">
        <w:rPr>
          <w:rFonts w:cstheme="minorHAnsi"/>
        </w:rPr>
        <w:t>żdej</w:t>
      </w:r>
      <w:r w:rsidRPr="00B82A36">
        <w:rPr>
          <w:rFonts w:cstheme="minorHAnsi"/>
        </w:rPr>
        <w:t xml:space="preserve"> z</w:t>
      </w:r>
      <w:r w:rsidR="002822A0" w:rsidRPr="00B82A36">
        <w:rPr>
          <w:rFonts w:cstheme="minorHAnsi"/>
        </w:rPr>
        <w:t>e</w:t>
      </w:r>
      <w:r w:rsidRPr="00B82A36">
        <w:rPr>
          <w:rFonts w:cstheme="minorHAnsi"/>
        </w:rPr>
        <w:t xml:space="preserve"> </w:t>
      </w:r>
      <w:r w:rsidR="002822A0" w:rsidRPr="00B82A36">
        <w:rPr>
          <w:rFonts w:cstheme="minorHAnsi"/>
        </w:rPr>
        <w:t>Spółek</w:t>
      </w:r>
      <w:r w:rsidR="00D15034">
        <w:rPr>
          <w:rFonts w:cstheme="minorHAnsi"/>
        </w:rPr>
        <w:t xml:space="preserve">, </w:t>
      </w:r>
      <w:r w:rsidRPr="00B82A36">
        <w:rPr>
          <w:rFonts w:cstheme="minorHAnsi"/>
        </w:rPr>
        <w:t>ich klientom, a tak</w:t>
      </w:r>
      <w:r w:rsidR="002822A0" w:rsidRPr="00B82A36">
        <w:rPr>
          <w:rFonts w:cstheme="minorHAnsi"/>
        </w:rPr>
        <w:t>ż</w:t>
      </w:r>
      <w:r w:rsidRPr="00B82A36">
        <w:rPr>
          <w:rFonts w:cstheme="minorHAnsi"/>
        </w:rPr>
        <w:t xml:space="preserve">e ich </w:t>
      </w:r>
      <w:r w:rsidR="00B21927">
        <w:rPr>
          <w:rFonts w:cstheme="minorHAnsi"/>
        </w:rPr>
        <w:t>akcjonariuszom</w:t>
      </w:r>
      <w:r w:rsidRPr="00B82A36">
        <w:rPr>
          <w:rFonts w:cstheme="minorHAnsi"/>
        </w:rPr>
        <w:t>.</w:t>
      </w:r>
    </w:p>
    <w:p w14:paraId="22C3C752" w14:textId="77777777" w:rsidR="00F64199" w:rsidRPr="00B82A36" w:rsidRDefault="00F64199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BF1AA87" w14:textId="1305556A" w:rsidR="001F3CD4" w:rsidRPr="00DB2095" w:rsidRDefault="002C6EDC" w:rsidP="00DB20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lastRenderedPageBreak/>
        <w:t>Połączenie</w:t>
      </w:r>
      <w:r w:rsidR="00F64199" w:rsidRPr="00B82A36">
        <w:rPr>
          <w:rFonts w:cstheme="minorHAnsi"/>
        </w:rPr>
        <w:t xml:space="preserve"> </w:t>
      </w:r>
      <w:r w:rsidR="00FC57D0">
        <w:rPr>
          <w:rFonts w:cstheme="minorHAnsi"/>
        </w:rPr>
        <w:t>jest uzasadnione z uwagi na możliwe wystąpienie oczekiwanych efektów w postaci</w:t>
      </w:r>
      <w:r w:rsidR="00F64199" w:rsidRPr="00B82A36">
        <w:rPr>
          <w:rFonts w:cstheme="minorHAnsi"/>
        </w:rPr>
        <w:t>:</w:t>
      </w:r>
    </w:p>
    <w:p w14:paraId="4438766B" w14:textId="22AD6643" w:rsidR="001F1A1E" w:rsidRDefault="003D65E8" w:rsidP="001F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osiągnięci</w:t>
      </w:r>
      <w:r w:rsidR="00FC57D0">
        <w:rPr>
          <w:rFonts w:cstheme="minorHAnsi"/>
        </w:rPr>
        <w:t>a</w:t>
      </w:r>
      <w:r w:rsidRPr="00B82A36">
        <w:rPr>
          <w:rFonts w:cstheme="minorHAnsi"/>
        </w:rPr>
        <w:t xml:space="preserve"> efektów synergii </w:t>
      </w:r>
      <w:r w:rsidR="0095203B">
        <w:rPr>
          <w:rFonts w:cstheme="minorHAnsi"/>
        </w:rPr>
        <w:t xml:space="preserve">w obszarach </w:t>
      </w:r>
      <w:r w:rsidR="00A83D73">
        <w:rPr>
          <w:rFonts w:cstheme="minorHAnsi"/>
        </w:rPr>
        <w:t xml:space="preserve">wzmocnienia pozycji negocjacyjnej </w:t>
      </w:r>
      <w:r w:rsidR="00453946">
        <w:rPr>
          <w:rFonts w:cstheme="minorHAnsi"/>
        </w:rPr>
        <w:t xml:space="preserve">wobec kontrahentów oraz </w:t>
      </w:r>
      <w:r w:rsidR="002021D9">
        <w:rPr>
          <w:rFonts w:cstheme="minorHAnsi"/>
        </w:rPr>
        <w:t>objęci</w:t>
      </w:r>
      <w:r w:rsidR="00836EB1">
        <w:rPr>
          <w:rFonts w:cstheme="minorHAnsi"/>
        </w:rPr>
        <w:t>a</w:t>
      </w:r>
      <w:r w:rsidR="002021D9">
        <w:rPr>
          <w:rFonts w:cstheme="minorHAnsi"/>
        </w:rPr>
        <w:t xml:space="preserve"> </w:t>
      </w:r>
      <w:r w:rsidR="00453946">
        <w:rPr>
          <w:rFonts w:cstheme="minorHAnsi"/>
        </w:rPr>
        <w:t xml:space="preserve">wiodącej pozycji </w:t>
      </w:r>
      <w:r w:rsidR="00192446">
        <w:rPr>
          <w:rFonts w:cstheme="minorHAnsi"/>
        </w:rPr>
        <w:t xml:space="preserve">rynkowej </w:t>
      </w:r>
      <w:r w:rsidR="0032530F">
        <w:rPr>
          <w:rFonts w:cstheme="minorHAnsi"/>
        </w:rPr>
        <w:t xml:space="preserve">w zakresie e-commerce, gdyż </w:t>
      </w:r>
      <w:r w:rsidR="002115DB">
        <w:rPr>
          <w:rFonts w:cstheme="minorHAnsi"/>
        </w:rPr>
        <w:t>S</w:t>
      </w:r>
      <w:r w:rsidR="0032530F">
        <w:rPr>
          <w:rFonts w:cstheme="minorHAnsi"/>
        </w:rPr>
        <w:t xml:space="preserve">półka </w:t>
      </w:r>
      <w:r w:rsidR="002115DB">
        <w:rPr>
          <w:rFonts w:cstheme="minorHAnsi"/>
        </w:rPr>
        <w:t>P</w:t>
      </w:r>
      <w:r w:rsidR="0032530F">
        <w:rPr>
          <w:rFonts w:cstheme="minorHAnsi"/>
        </w:rPr>
        <w:t>rzejmowana posiada wysokie kompetencje i doświadczenia, a w połączeniu z potencjałem rynkowym Spółki Przejmującej pozwoli to na osiągniecie</w:t>
      </w:r>
      <w:r w:rsidR="00E15E89">
        <w:rPr>
          <w:rFonts w:cstheme="minorHAnsi"/>
        </w:rPr>
        <w:t xml:space="preserve"> długoterminowego wzrostu</w:t>
      </w:r>
      <w:r w:rsidR="00C07412">
        <w:rPr>
          <w:rFonts w:cstheme="minorHAnsi"/>
        </w:rPr>
        <w:t xml:space="preserve"> wartości dla akcjonariuszy</w:t>
      </w:r>
      <w:r w:rsidR="00F67E7A" w:rsidRPr="00B82A36">
        <w:rPr>
          <w:rFonts w:cstheme="minorHAnsi"/>
        </w:rPr>
        <w:t>,</w:t>
      </w:r>
    </w:p>
    <w:p w14:paraId="7BD19CA8" w14:textId="62875ABA" w:rsidR="00DB2095" w:rsidRPr="00B82A36" w:rsidRDefault="00FC607D" w:rsidP="001F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wzrostu znaczenia pozycji rynkowej Spółki Przejmującej w branży nowoczesnych mediów oraz e-commerce, w szczególności w zakresie projektowania, budowy, wdrożenia, rozwoju i marketingu platform e-commerce</w:t>
      </w:r>
      <w:r w:rsidR="00DB2095">
        <w:rPr>
          <w:rFonts w:cstheme="minorHAnsi"/>
        </w:rPr>
        <w:t>,</w:t>
      </w:r>
    </w:p>
    <w:p w14:paraId="6B0F8B64" w14:textId="7A6ED6F0" w:rsidR="00927C66" w:rsidRPr="00B82A36" w:rsidRDefault="003D65E8" w:rsidP="001F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zwiększeni</w:t>
      </w:r>
      <w:r w:rsidR="00617589">
        <w:rPr>
          <w:rFonts w:cstheme="minorHAnsi"/>
        </w:rPr>
        <w:t>a</w:t>
      </w:r>
      <w:r w:rsidRPr="00B82A36">
        <w:rPr>
          <w:rFonts w:cstheme="minorHAnsi"/>
        </w:rPr>
        <w:t xml:space="preserve"> kapitałów własnych Spółki Przejmującej</w:t>
      </w:r>
      <w:r w:rsidR="00617589">
        <w:rPr>
          <w:rFonts w:cstheme="minorHAnsi"/>
        </w:rPr>
        <w:t>,</w:t>
      </w:r>
      <w:r w:rsidRPr="00B82A36">
        <w:rPr>
          <w:rFonts w:cstheme="minorHAnsi"/>
        </w:rPr>
        <w:t xml:space="preserve"> </w:t>
      </w:r>
      <w:r w:rsidR="00617589">
        <w:rPr>
          <w:rFonts w:cstheme="minorHAnsi"/>
        </w:rPr>
        <w:t>w związku z</w:t>
      </w:r>
      <w:r w:rsidRPr="00B82A36">
        <w:rPr>
          <w:rFonts w:cstheme="minorHAnsi"/>
        </w:rPr>
        <w:t xml:space="preserve"> emisj</w:t>
      </w:r>
      <w:r w:rsidR="00617589">
        <w:rPr>
          <w:rFonts w:cstheme="minorHAnsi"/>
        </w:rPr>
        <w:t>ą nowych</w:t>
      </w:r>
      <w:r w:rsidRPr="00B82A36">
        <w:rPr>
          <w:rFonts w:cstheme="minorHAnsi"/>
        </w:rPr>
        <w:t xml:space="preserve"> akcji i wydanie ich </w:t>
      </w:r>
      <w:r w:rsidR="008B3918">
        <w:rPr>
          <w:rFonts w:cstheme="minorHAnsi"/>
        </w:rPr>
        <w:t>akcjonariuszom</w:t>
      </w:r>
      <w:r w:rsidRPr="00B82A36">
        <w:rPr>
          <w:rFonts w:cstheme="minorHAnsi"/>
        </w:rPr>
        <w:t xml:space="preserve"> Spółki Przejmowanej, co przełoży się na wzmocnienie pozycji finansowej Spółki Przejmującej (na skutek </w:t>
      </w:r>
      <w:r w:rsidR="008B3918">
        <w:rPr>
          <w:rFonts w:cstheme="minorHAnsi"/>
        </w:rPr>
        <w:t>P</w:t>
      </w:r>
      <w:r w:rsidRPr="00B82A36">
        <w:rPr>
          <w:rFonts w:cstheme="minorHAnsi"/>
        </w:rPr>
        <w:t xml:space="preserve">ołączenia nastąpi poprawa wskaźników bilansowych Spółki Przejmującej, albowiem </w:t>
      </w:r>
      <w:r w:rsidR="00F313B5">
        <w:rPr>
          <w:rFonts w:cstheme="minorHAnsi"/>
        </w:rPr>
        <w:t>P</w:t>
      </w:r>
      <w:r w:rsidRPr="00B82A36">
        <w:rPr>
          <w:rFonts w:cstheme="minorHAnsi"/>
        </w:rPr>
        <w:t>ołączenie odbywa się bez konieczności zwiększania zadłużenia po stronie Spółki Przejmującej) i możliwość pozyskiwania tańszego finansowania dłużnego</w:t>
      </w:r>
      <w:r w:rsidR="00927C66" w:rsidRPr="00B82A36">
        <w:rPr>
          <w:rFonts w:cstheme="minorHAnsi"/>
        </w:rPr>
        <w:t>,</w:t>
      </w:r>
    </w:p>
    <w:p w14:paraId="3AAB2949" w14:textId="60B64CE8" w:rsidR="003D65E8" w:rsidRDefault="003D65E8" w:rsidP="001F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przyspieszeni</w:t>
      </w:r>
      <w:r w:rsidR="00CC485C">
        <w:rPr>
          <w:rFonts w:cstheme="minorHAnsi"/>
        </w:rPr>
        <w:t>a</w:t>
      </w:r>
      <w:r w:rsidRPr="00B82A36">
        <w:rPr>
          <w:rFonts w:cstheme="minorHAnsi"/>
        </w:rPr>
        <w:t xml:space="preserve"> rozwoju Spółki Przejmującej</w:t>
      </w:r>
      <w:r w:rsidR="00910684">
        <w:rPr>
          <w:rFonts w:cstheme="minorHAnsi"/>
        </w:rPr>
        <w:t>,</w:t>
      </w:r>
    </w:p>
    <w:p w14:paraId="50293D0D" w14:textId="0726C3D4" w:rsidR="003677CA" w:rsidRPr="00B82A36" w:rsidRDefault="00A276C7" w:rsidP="001F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wzrost</w:t>
      </w:r>
      <w:r w:rsidR="0036482E">
        <w:rPr>
          <w:rFonts w:cstheme="minorHAnsi"/>
        </w:rPr>
        <w:t>u</w:t>
      </w:r>
      <w:r>
        <w:rPr>
          <w:rFonts w:cstheme="minorHAnsi"/>
        </w:rPr>
        <w:t xml:space="preserve"> potencjału i wiarygodności finansowej Spółki Przejmującej</w:t>
      </w:r>
      <w:r w:rsidR="0036482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374C2">
        <w:rPr>
          <w:rFonts w:cstheme="minorHAnsi"/>
        </w:rPr>
        <w:t xml:space="preserve">co istotnie wpłynie na zwiększenie </w:t>
      </w:r>
      <w:r w:rsidR="00A7152E">
        <w:rPr>
          <w:rFonts w:cstheme="minorHAnsi"/>
        </w:rPr>
        <w:t xml:space="preserve">stabilności Spółki Przejmującej </w:t>
      </w:r>
      <w:r w:rsidR="00E10124">
        <w:rPr>
          <w:rFonts w:cstheme="minorHAnsi"/>
        </w:rPr>
        <w:t xml:space="preserve">oraz </w:t>
      </w:r>
      <w:r w:rsidR="00A7152E">
        <w:rPr>
          <w:rFonts w:cstheme="minorHAnsi"/>
        </w:rPr>
        <w:t xml:space="preserve">na </w:t>
      </w:r>
      <w:r w:rsidR="00E10124">
        <w:rPr>
          <w:rFonts w:cstheme="minorHAnsi"/>
        </w:rPr>
        <w:t xml:space="preserve">możliwość realizowania </w:t>
      </w:r>
      <w:r w:rsidR="007B0083">
        <w:rPr>
          <w:rFonts w:cstheme="minorHAnsi"/>
        </w:rPr>
        <w:t>znaczących</w:t>
      </w:r>
      <w:r w:rsidR="008409A5">
        <w:rPr>
          <w:rFonts w:cstheme="minorHAnsi"/>
        </w:rPr>
        <w:t xml:space="preserve">, w tym długoterminowych, </w:t>
      </w:r>
      <w:r w:rsidR="007B0083">
        <w:rPr>
          <w:rFonts w:cstheme="minorHAnsi"/>
        </w:rPr>
        <w:t>przedsięwzięć</w:t>
      </w:r>
      <w:r w:rsidR="0036482E">
        <w:rPr>
          <w:rFonts w:cstheme="minorHAnsi"/>
        </w:rPr>
        <w:t xml:space="preserve"> biznesowych</w:t>
      </w:r>
      <w:r w:rsidR="008409A5">
        <w:rPr>
          <w:rFonts w:cstheme="minorHAnsi"/>
        </w:rPr>
        <w:t>,</w:t>
      </w:r>
    </w:p>
    <w:p w14:paraId="642BB1FC" w14:textId="6A68FA07" w:rsidR="00927C66" w:rsidRPr="00B82A36" w:rsidRDefault="003D65E8" w:rsidP="001F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redukcj</w:t>
      </w:r>
      <w:r w:rsidR="009B1BA7">
        <w:rPr>
          <w:rFonts w:cstheme="minorHAnsi"/>
        </w:rPr>
        <w:t>i</w:t>
      </w:r>
      <w:r w:rsidRPr="00B82A36">
        <w:rPr>
          <w:rFonts w:cstheme="minorHAnsi"/>
        </w:rPr>
        <w:t xml:space="preserve"> kosztów zarządzania oraz racjonalizacj</w:t>
      </w:r>
      <w:r w:rsidR="009B1BA7">
        <w:rPr>
          <w:rFonts w:cstheme="minorHAnsi"/>
        </w:rPr>
        <w:t>i</w:t>
      </w:r>
      <w:r w:rsidRPr="00B82A36">
        <w:rPr>
          <w:rFonts w:cstheme="minorHAnsi"/>
        </w:rPr>
        <w:t xml:space="preserve"> struktur organizacyjnych.</w:t>
      </w:r>
    </w:p>
    <w:p w14:paraId="582FD6E8" w14:textId="77777777" w:rsidR="00F67E7A" w:rsidRPr="00B82A36" w:rsidRDefault="00F67E7A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0EB3001" w14:textId="287DB774" w:rsidR="00FC607D" w:rsidRDefault="003F0BD6" w:rsidP="001F14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 osiągnięcia zamierzonych efektów Spółka Przejmująca będzie mogła wykorzystać kompetencje i know-how dotychczasowych głównych akcjonariuszy i zarządu Spółki Przejmującej, którzy posiadają ugruntowane doświadczenie w działalności inwestycyjnej oraz ich znajomości rynku kapitałowego połączone z know-how i zasobami Spółki Przejmowanej, która współpracuje z podmiotami posiadającymi wiedzę rynkową, metodykę i narzędzia dotyczące wytworzenia, komercjalizacji i sprzedaży gier mobilnych oraz działalności filmowej.</w:t>
      </w:r>
    </w:p>
    <w:p w14:paraId="10F42415" w14:textId="77777777" w:rsidR="003F0BD6" w:rsidRDefault="003F0BD6" w:rsidP="003F0BD6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1729D355" w14:textId="6E4ED26A" w:rsidR="003D65E8" w:rsidRPr="00B82A36" w:rsidRDefault="003D65E8" w:rsidP="001F14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 xml:space="preserve">W wyniku </w:t>
      </w:r>
      <w:r w:rsidR="007B0083">
        <w:rPr>
          <w:rFonts w:cstheme="minorHAnsi"/>
        </w:rPr>
        <w:t>Połączenia</w:t>
      </w:r>
      <w:r w:rsidRPr="00B82A36">
        <w:rPr>
          <w:rFonts w:cstheme="minorHAnsi"/>
        </w:rPr>
        <w:t xml:space="preserve"> </w:t>
      </w:r>
      <w:r w:rsidR="00ED67D8">
        <w:rPr>
          <w:rFonts w:cstheme="minorHAnsi"/>
        </w:rPr>
        <w:t xml:space="preserve">znacznie </w:t>
      </w:r>
      <w:r w:rsidRPr="00B82A36">
        <w:rPr>
          <w:rFonts w:cstheme="minorHAnsi"/>
        </w:rPr>
        <w:t xml:space="preserve">wzrośnie istotnie kapitalizacja Spółki Przejmującej oraz poprawi się płynność akcji </w:t>
      </w:r>
      <w:r w:rsidR="007B0083">
        <w:rPr>
          <w:rFonts w:cstheme="minorHAnsi"/>
        </w:rPr>
        <w:t>Spółki Przejmującej</w:t>
      </w:r>
      <w:r w:rsidR="006E6EBC">
        <w:rPr>
          <w:rFonts w:cstheme="minorHAnsi"/>
        </w:rPr>
        <w:t xml:space="preserve">, </w:t>
      </w:r>
      <w:r w:rsidR="008423C2">
        <w:rPr>
          <w:rFonts w:cstheme="minorHAnsi"/>
        </w:rPr>
        <w:t xml:space="preserve">notowanych </w:t>
      </w:r>
      <w:r w:rsidRPr="00B82A36">
        <w:rPr>
          <w:rFonts w:cstheme="minorHAnsi"/>
        </w:rPr>
        <w:t xml:space="preserve">w </w:t>
      </w:r>
      <w:r w:rsidR="00C87128">
        <w:rPr>
          <w:rFonts w:cstheme="minorHAnsi"/>
        </w:rPr>
        <w:t>A</w:t>
      </w:r>
      <w:r w:rsidR="008423C2">
        <w:rPr>
          <w:rFonts w:cstheme="minorHAnsi"/>
        </w:rPr>
        <w:t>lternatywnym Systemie Obrotu</w:t>
      </w:r>
      <w:r w:rsidR="006E6EBC">
        <w:rPr>
          <w:rFonts w:cstheme="minorHAnsi"/>
        </w:rPr>
        <w:t xml:space="preserve"> </w:t>
      </w:r>
      <w:r w:rsidR="006E6EBC">
        <w:t>NewConnect</w:t>
      </w:r>
      <w:r w:rsidRPr="00B82A36">
        <w:rPr>
          <w:rFonts w:cstheme="minorHAnsi"/>
        </w:rPr>
        <w:t>, co w dłuższym okresie będzie stanowić czynnik sprzyjający wyższej rynkowej wycenie akcji, m.in. poprzez potencjalny wzrost zainteresowania ze strony długoterminowych inwestorów instytucjonalnych.</w:t>
      </w:r>
    </w:p>
    <w:p w14:paraId="41620E98" w14:textId="77777777" w:rsidR="00F054E8" w:rsidRPr="00B82A36" w:rsidRDefault="00F054E8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9D6AF30" w14:textId="79A8EEDC" w:rsidR="001F1A1E" w:rsidRPr="00B82A36" w:rsidRDefault="00F67E7A" w:rsidP="001F14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W</w:t>
      </w:r>
      <w:r w:rsidR="001F1A1E" w:rsidRPr="00B82A36">
        <w:rPr>
          <w:rFonts w:cstheme="minorHAnsi"/>
        </w:rPr>
        <w:t xml:space="preserve"> wyniku </w:t>
      </w:r>
      <w:r w:rsidR="0014333E">
        <w:rPr>
          <w:rFonts w:cstheme="minorHAnsi"/>
        </w:rPr>
        <w:t>P</w:t>
      </w:r>
      <w:r w:rsidR="00CE1E4D" w:rsidRPr="00B82A36">
        <w:rPr>
          <w:rFonts w:cstheme="minorHAnsi"/>
        </w:rPr>
        <w:t>ołączenia</w:t>
      </w:r>
      <w:r w:rsidR="001F1A1E" w:rsidRPr="00B82A36">
        <w:rPr>
          <w:rFonts w:cstheme="minorHAnsi"/>
        </w:rPr>
        <w:t xml:space="preserve"> uzyskane zostan</w:t>
      </w:r>
      <w:r w:rsidRPr="00B82A36">
        <w:rPr>
          <w:rFonts w:cstheme="minorHAnsi"/>
        </w:rPr>
        <w:t>ą</w:t>
      </w:r>
      <w:r w:rsidR="001F1A1E" w:rsidRPr="00B82A36">
        <w:rPr>
          <w:rFonts w:cstheme="minorHAnsi"/>
        </w:rPr>
        <w:t xml:space="preserve"> </w:t>
      </w:r>
      <w:r w:rsidR="004B0179" w:rsidRPr="00B82A36">
        <w:rPr>
          <w:rFonts w:cstheme="minorHAnsi"/>
        </w:rPr>
        <w:t xml:space="preserve">szeroko rozumiane </w:t>
      </w:r>
      <w:r w:rsidR="001F1A1E" w:rsidRPr="00B82A36">
        <w:rPr>
          <w:rFonts w:cstheme="minorHAnsi"/>
        </w:rPr>
        <w:t>korzy</w:t>
      </w:r>
      <w:r w:rsidR="007F5B04" w:rsidRPr="00B82A36">
        <w:rPr>
          <w:rFonts w:cstheme="minorHAnsi"/>
        </w:rPr>
        <w:t>ś</w:t>
      </w:r>
      <w:r w:rsidR="001F1A1E" w:rsidRPr="00B82A36">
        <w:rPr>
          <w:rFonts w:cstheme="minorHAnsi"/>
        </w:rPr>
        <w:t>ci skali. W szczególno</w:t>
      </w:r>
      <w:r w:rsidR="007F5B04" w:rsidRPr="00B82A36">
        <w:rPr>
          <w:rFonts w:cstheme="minorHAnsi"/>
        </w:rPr>
        <w:t>ś</w:t>
      </w:r>
      <w:r w:rsidR="001F1A1E" w:rsidRPr="00B82A36">
        <w:rPr>
          <w:rFonts w:cstheme="minorHAnsi"/>
        </w:rPr>
        <w:t>ci zrealizowane zostan</w:t>
      </w:r>
      <w:r w:rsidR="004B0179" w:rsidRPr="00B82A36">
        <w:rPr>
          <w:rFonts w:cstheme="minorHAnsi"/>
        </w:rPr>
        <w:t>ą</w:t>
      </w:r>
      <w:r w:rsidR="001F1A1E" w:rsidRPr="00B82A36">
        <w:rPr>
          <w:rFonts w:cstheme="minorHAnsi"/>
        </w:rPr>
        <w:t xml:space="preserve"> nast</w:t>
      </w:r>
      <w:r w:rsidR="004B0179" w:rsidRPr="00B82A36">
        <w:rPr>
          <w:rFonts w:cstheme="minorHAnsi"/>
        </w:rPr>
        <w:t>ę</w:t>
      </w:r>
      <w:r w:rsidR="001F1A1E" w:rsidRPr="00B82A36">
        <w:rPr>
          <w:rFonts w:cstheme="minorHAnsi"/>
        </w:rPr>
        <w:t>puj</w:t>
      </w:r>
      <w:r w:rsidR="004B0179" w:rsidRPr="00B82A36">
        <w:rPr>
          <w:rFonts w:cstheme="minorHAnsi"/>
        </w:rPr>
        <w:t xml:space="preserve">ące cele </w:t>
      </w:r>
      <w:r w:rsidR="001F1A1E" w:rsidRPr="00B82A36">
        <w:rPr>
          <w:rFonts w:cstheme="minorHAnsi"/>
        </w:rPr>
        <w:t>długookresowe:</w:t>
      </w:r>
    </w:p>
    <w:p w14:paraId="18DFEC22" w14:textId="4A1C9BB7" w:rsidR="001F1A1E" w:rsidRPr="00B82A36" w:rsidRDefault="00350BD8" w:rsidP="001F14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osiągnięcie wiodąc</w:t>
      </w:r>
      <w:r w:rsidR="00E03E52">
        <w:rPr>
          <w:rFonts w:cstheme="minorHAnsi"/>
        </w:rPr>
        <w:t>ej</w:t>
      </w:r>
      <w:r>
        <w:rPr>
          <w:rFonts w:cstheme="minorHAnsi"/>
        </w:rPr>
        <w:t xml:space="preserve"> pozycji rynkowej </w:t>
      </w:r>
      <w:r w:rsidR="000871C1">
        <w:rPr>
          <w:rFonts w:cstheme="minorHAnsi"/>
        </w:rPr>
        <w:t>w zakresie branży nowych mediów</w:t>
      </w:r>
      <w:r w:rsidR="001F1A1E" w:rsidRPr="00B82A36">
        <w:rPr>
          <w:rFonts w:cstheme="minorHAnsi"/>
        </w:rPr>
        <w:t>,</w:t>
      </w:r>
    </w:p>
    <w:p w14:paraId="6172A19A" w14:textId="77777777" w:rsidR="001F1A1E" w:rsidRPr="00B82A36" w:rsidRDefault="001F1A1E" w:rsidP="001F14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uzyskanie, poprzez wsparcie systemów zarz</w:t>
      </w:r>
      <w:r w:rsidR="004B0179" w:rsidRPr="00B82A36">
        <w:rPr>
          <w:rFonts w:cstheme="minorHAnsi"/>
        </w:rPr>
        <w:t>ą</w:t>
      </w:r>
      <w:r w:rsidRPr="00B82A36">
        <w:rPr>
          <w:rFonts w:cstheme="minorHAnsi"/>
        </w:rPr>
        <w:t>dczych opartych na najlepszych</w:t>
      </w:r>
      <w:r w:rsidR="00F054E8" w:rsidRPr="00B82A36">
        <w:rPr>
          <w:rFonts w:cstheme="minorHAnsi"/>
        </w:rPr>
        <w:t xml:space="preserve"> </w:t>
      </w:r>
      <w:r w:rsidRPr="00B82A36">
        <w:rPr>
          <w:rFonts w:cstheme="minorHAnsi"/>
        </w:rPr>
        <w:t>praktykach, najwy</w:t>
      </w:r>
      <w:r w:rsidR="004B0179" w:rsidRPr="00B82A36">
        <w:rPr>
          <w:rFonts w:cstheme="minorHAnsi"/>
        </w:rPr>
        <w:t>ż</w:t>
      </w:r>
      <w:r w:rsidRPr="00B82A36">
        <w:rPr>
          <w:rFonts w:cstheme="minorHAnsi"/>
        </w:rPr>
        <w:t>szej jako</w:t>
      </w:r>
      <w:r w:rsidR="004B0179" w:rsidRPr="00B82A36">
        <w:rPr>
          <w:rFonts w:cstheme="minorHAnsi"/>
        </w:rPr>
        <w:t>ś</w:t>
      </w:r>
      <w:r w:rsidRPr="00B82A36">
        <w:rPr>
          <w:rFonts w:cstheme="minorHAnsi"/>
        </w:rPr>
        <w:t>ci zarz</w:t>
      </w:r>
      <w:r w:rsidR="004B0179" w:rsidRPr="00B82A36">
        <w:rPr>
          <w:rFonts w:cstheme="minorHAnsi"/>
        </w:rPr>
        <w:t>ą</w:t>
      </w:r>
      <w:r w:rsidRPr="00B82A36">
        <w:rPr>
          <w:rFonts w:cstheme="minorHAnsi"/>
        </w:rPr>
        <w:t>dzania ryzykiem, planowania i</w:t>
      </w:r>
      <w:r w:rsidR="00F054E8" w:rsidRPr="00B82A36">
        <w:rPr>
          <w:rFonts w:cstheme="minorHAnsi"/>
        </w:rPr>
        <w:t xml:space="preserve"> </w:t>
      </w:r>
      <w:r w:rsidRPr="00B82A36">
        <w:rPr>
          <w:rFonts w:cstheme="minorHAnsi"/>
        </w:rPr>
        <w:t>zarz</w:t>
      </w:r>
      <w:r w:rsidR="004B0179" w:rsidRPr="00B82A36">
        <w:rPr>
          <w:rFonts w:cstheme="minorHAnsi"/>
        </w:rPr>
        <w:t>ą</w:t>
      </w:r>
      <w:r w:rsidRPr="00B82A36">
        <w:rPr>
          <w:rFonts w:cstheme="minorHAnsi"/>
        </w:rPr>
        <w:t>dzania wydajno</w:t>
      </w:r>
      <w:r w:rsidR="004B0179" w:rsidRPr="00B82A36">
        <w:rPr>
          <w:rFonts w:cstheme="minorHAnsi"/>
        </w:rPr>
        <w:t>ś</w:t>
      </w:r>
      <w:r w:rsidRPr="00B82A36">
        <w:rPr>
          <w:rFonts w:cstheme="minorHAnsi"/>
        </w:rPr>
        <w:t>ci</w:t>
      </w:r>
      <w:r w:rsidR="004B0179" w:rsidRPr="00B82A36">
        <w:rPr>
          <w:rFonts w:cstheme="minorHAnsi"/>
        </w:rPr>
        <w:t>ą</w:t>
      </w:r>
      <w:r w:rsidRPr="00B82A36">
        <w:rPr>
          <w:rFonts w:cstheme="minorHAnsi"/>
        </w:rPr>
        <w:t>,</w:t>
      </w:r>
    </w:p>
    <w:p w14:paraId="05AE7534" w14:textId="10173303" w:rsidR="001F1A1E" w:rsidRPr="00B82A36" w:rsidRDefault="001F1A1E" w:rsidP="001F14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osi</w:t>
      </w:r>
      <w:r w:rsidR="004B0179" w:rsidRPr="00B82A36">
        <w:rPr>
          <w:rFonts w:cstheme="minorHAnsi"/>
        </w:rPr>
        <w:t>ą</w:t>
      </w:r>
      <w:r w:rsidRPr="00B82A36">
        <w:rPr>
          <w:rFonts w:cstheme="minorHAnsi"/>
        </w:rPr>
        <w:t>gni</w:t>
      </w:r>
      <w:r w:rsidR="004B0179" w:rsidRPr="00B82A36">
        <w:rPr>
          <w:rFonts w:cstheme="minorHAnsi"/>
        </w:rPr>
        <w:t>ę</w:t>
      </w:r>
      <w:r w:rsidRPr="00B82A36">
        <w:rPr>
          <w:rFonts w:cstheme="minorHAnsi"/>
        </w:rPr>
        <w:t xml:space="preserve">cie </w:t>
      </w:r>
      <w:r w:rsidR="004B0179" w:rsidRPr="00B82A36">
        <w:rPr>
          <w:rFonts w:cstheme="minorHAnsi"/>
        </w:rPr>
        <w:t xml:space="preserve">przez Spółkę </w:t>
      </w:r>
      <w:r w:rsidR="005A020C" w:rsidRPr="00B82A36">
        <w:rPr>
          <w:rFonts w:cstheme="minorHAnsi"/>
        </w:rPr>
        <w:t xml:space="preserve">Przejmującą </w:t>
      </w:r>
      <w:r w:rsidR="000772DE" w:rsidRPr="00B82A36">
        <w:rPr>
          <w:rFonts w:cstheme="minorHAnsi"/>
        </w:rPr>
        <w:t xml:space="preserve">czołowej </w:t>
      </w:r>
      <w:r w:rsidRPr="00B82A36">
        <w:rPr>
          <w:rFonts w:cstheme="minorHAnsi"/>
        </w:rPr>
        <w:t>pozycji na rynku pod wzgl</w:t>
      </w:r>
      <w:r w:rsidR="004B0179" w:rsidRPr="00B82A36">
        <w:rPr>
          <w:rFonts w:cstheme="minorHAnsi"/>
        </w:rPr>
        <w:t>ę</w:t>
      </w:r>
      <w:r w:rsidRPr="00B82A36">
        <w:rPr>
          <w:rFonts w:cstheme="minorHAnsi"/>
        </w:rPr>
        <w:t>dem zarz</w:t>
      </w:r>
      <w:r w:rsidR="004B0179" w:rsidRPr="00B82A36">
        <w:rPr>
          <w:rFonts w:cstheme="minorHAnsi"/>
        </w:rPr>
        <w:t xml:space="preserve">ądzania kosztami, </w:t>
      </w:r>
      <w:r w:rsidRPr="00B82A36">
        <w:rPr>
          <w:rFonts w:cstheme="minorHAnsi"/>
        </w:rPr>
        <w:t xml:space="preserve">przy zastosowaniu efektu skali oraz technik </w:t>
      </w:r>
      <w:r w:rsidR="00F66E96">
        <w:rPr>
          <w:rFonts w:cstheme="minorHAnsi"/>
        </w:rPr>
        <w:t>zarządczych</w:t>
      </w:r>
      <w:r w:rsidR="004B0179" w:rsidRPr="00B82A36">
        <w:rPr>
          <w:rFonts w:cstheme="minorHAnsi"/>
        </w:rPr>
        <w:t xml:space="preserve">, opartych na najlepszych </w:t>
      </w:r>
      <w:r w:rsidRPr="00B82A36">
        <w:rPr>
          <w:rFonts w:cstheme="minorHAnsi"/>
        </w:rPr>
        <w:t>praktykach</w:t>
      </w:r>
      <w:r w:rsidR="004B0179" w:rsidRPr="00B82A36">
        <w:rPr>
          <w:rFonts w:cstheme="minorHAnsi"/>
        </w:rPr>
        <w:t>.</w:t>
      </w:r>
    </w:p>
    <w:p w14:paraId="701CE5B5" w14:textId="77777777" w:rsidR="00477D92" w:rsidRPr="00B82A36" w:rsidRDefault="00477D92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A54C17" w14:textId="08308221" w:rsidR="00477D92" w:rsidRPr="00524C5C" w:rsidRDefault="00524C5C" w:rsidP="00524C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24C5C">
        <w:rPr>
          <w:rFonts w:cstheme="minorHAnsi"/>
        </w:rPr>
        <w:t xml:space="preserve">Połączenie posiadanego przez </w:t>
      </w:r>
      <w:r w:rsidR="00444893">
        <w:rPr>
          <w:rFonts w:cstheme="minorHAnsi"/>
        </w:rPr>
        <w:t xml:space="preserve">obie </w:t>
      </w:r>
      <w:r w:rsidR="0084142E">
        <w:rPr>
          <w:rFonts w:cstheme="minorHAnsi"/>
        </w:rPr>
        <w:t xml:space="preserve">łączące się </w:t>
      </w:r>
      <w:r w:rsidR="000E3748">
        <w:rPr>
          <w:rFonts w:cstheme="minorHAnsi"/>
        </w:rPr>
        <w:t>spółki</w:t>
      </w:r>
      <w:r w:rsidRPr="00524C5C">
        <w:rPr>
          <w:rFonts w:cstheme="minorHAnsi"/>
        </w:rPr>
        <w:t xml:space="preserve"> know</w:t>
      </w:r>
      <w:r>
        <w:rPr>
          <w:rFonts w:cstheme="minorHAnsi"/>
        </w:rPr>
        <w:t>-</w:t>
      </w:r>
      <w:r w:rsidRPr="00524C5C">
        <w:rPr>
          <w:rFonts w:cstheme="minorHAnsi"/>
        </w:rPr>
        <w:t>how rynkowego i dokładna diagnoza poszczególnych obszarów działania</w:t>
      </w:r>
      <w:r>
        <w:rPr>
          <w:rFonts w:cstheme="minorHAnsi"/>
        </w:rPr>
        <w:t xml:space="preserve"> </w:t>
      </w:r>
      <w:r w:rsidRPr="00524C5C">
        <w:rPr>
          <w:rFonts w:cstheme="minorHAnsi"/>
        </w:rPr>
        <w:t>pozwoli osiągnąć oczekiwane synergie, zarówno operacyjne, jak i finansowe,</w:t>
      </w:r>
      <w:r>
        <w:rPr>
          <w:rFonts w:cstheme="minorHAnsi"/>
        </w:rPr>
        <w:t xml:space="preserve"> </w:t>
      </w:r>
      <w:r w:rsidRPr="00524C5C">
        <w:rPr>
          <w:rFonts w:cstheme="minorHAnsi"/>
        </w:rPr>
        <w:t>co przyniesie korzyść zarówno akcjonariuszom, jak i kontrahentom</w:t>
      </w:r>
      <w:r>
        <w:rPr>
          <w:rFonts w:cstheme="minorHAnsi"/>
        </w:rPr>
        <w:t xml:space="preserve"> </w:t>
      </w:r>
      <w:r w:rsidR="00303770">
        <w:rPr>
          <w:rFonts w:cstheme="minorHAnsi"/>
        </w:rPr>
        <w:t>ob</w:t>
      </w:r>
      <w:r w:rsidR="00BE1658">
        <w:rPr>
          <w:rFonts w:cstheme="minorHAnsi"/>
        </w:rPr>
        <w:t>u</w:t>
      </w:r>
      <w:r w:rsidR="00A83FDB">
        <w:rPr>
          <w:rFonts w:cstheme="minorHAnsi"/>
        </w:rPr>
        <w:t xml:space="preserve"> łączących się</w:t>
      </w:r>
      <w:r w:rsidRPr="00524C5C">
        <w:rPr>
          <w:rFonts w:cstheme="minorHAnsi"/>
        </w:rPr>
        <w:t xml:space="preserve"> </w:t>
      </w:r>
      <w:r w:rsidR="00797B6C">
        <w:rPr>
          <w:rFonts w:cstheme="minorHAnsi"/>
        </w:rPr>
        <w:t>spółek</w:t>
      </w:r>
      <w:r>
        <w:rPr>
          <w:rFonts w:cstheme="minorHAnsi"/>
        </w:rPr>
        <w:t>.</w:t>
      </w:r>
    </w:p>
    <w:p w14:paraId="6B55DB15" w14:textId="3437D3C2" w:rsidR="001F1A1E" w:rsidRPr="008244BE" w:rsidRDefault="00B12D97" w:rsidP="00824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</w:rPr>
      </w:pPr>
      <w:r w:rsidRPr="008244BE">
        <w:rPr>
          <w:rFonts w:cstheme="minorHAnsi"/>
          <w:b/>
        </w:rPr>
        <w:lastRenderedPageBreak/>
        <w:t>W</w:t>
      </w:r>
      <w:r w:rsidR="001F1A1E" w:rsidRPr="008244BE">
        <w:rPr>
          <w:rFonts w:cstheme="minorHAnsi"/>
          <w:b/>
        </w:rPr>
        <w:t>ycena maj</w:t>
      </w:r>
      <w:r w:rsidR="00477D92" w:rsidRPr="008244BE">
        <w:rPr>
          <w:rFonts w:cstheme="minorHAnsi"/>
          <w:b/>
        </w:rPr>
        <w:t>ą</w:t>
      </w:r>
      <w:r w:rsidR="001F1A1E" w:rsidRPr="008244BE">
        <w:rPr>
          <w:rFonts w:cstheme="minorHAnsi"/>
          <w:b/>
        </w:rPr>
        <w:t>tku</w:t>
      </w:r>
      <w:r w:rsidRPr="008244BE">
        <w:rPr>
          <w:rFonts w:cstheme="minorHAnsi"/>
          <w:b/>
        </w:rPr>
        <w:t xml:space="preserve"> Spółki Przejmującej i Spółki Przejmowanej</w:t>
      </w:r>
      <w:r w:rsidR="001F1A1E" w:rsidRPr="008244BE">
        <w:rPr>
          <w:rFonts w:cstheme="minorHAnsi"/>
          <w:b/>
        </w:rPr>
        <w:t xml:space="preserve">. Uzasadnienie </w:t>
      </w:r>
      <w:r w:rsidR="00477D92" w:rsidRPr="008244BE">
        <w:rPr>
          <w:rFonts w:cstheme="minorHAnsi"/>
          <w:b/>
        </w:rPr>
        <w:t xml:space="preserve">parytetu wymiany </w:t>
      </w:r>
      <w:r w:rsidR="00962D22" w:rsidRPr="008244BE">
        <w:rPr>
          <w:rFonts w:cstheme="minorHAnsi"/>
          <w:b/>
        </w:rPr>
        <w:t>udziałów</w:t>
      </w:r>
      <w:r w:rsidR="00477D92" w:rsidRPr="008244BE">
        <w:rPr>
          <w:rFonts w:cstheme="minorHAnsi"/>
          <w:b/>
        </w:rPr>
        <w:t xml:space="preserve"> Spółki </w:t>
      </w:r>
      <w:r w:rsidR="00CB2468" w:rsidRPr="008244BE">
        <w:rPr>
          <w:rFonts w:cstheme="minorHAnsi"/>
          <w:b/>
        </w:rPr>
        <w:t>Przejmowanej</w:t>
      </w:r>
      <w:r w:rsidR="00477D92" w:rsidRPr="008244BE">
        <w:rPr>
          <w:rFonts w:cstheme="minorHAnsi"/>
          <w:b/>
        </w:rPr>
        <w:t xml:space="preserve"> na akcj</w:t>
      </w:r>
      <w:r w:rsidR="00CB2468" w:rsidRPr="008244BE">
        <w:rPr>
          <w:rFonts w:cstheme="minorHAnsi"/>
          <w:b/>
        </w:rPr>
        <w:t>e</w:t>
      </w:r>
      <w:r w:rsidR="00477D92" w:rsidRPr="008244BE">
        <w:rPr>
          <w:rFonts w:cstheme="minorHAnsi"/>
          <w:b/>
        </w:rPr>
        <w:t xml:space="preserve"> Spółki</w:t>
      </w:r>
      <w:r w:rsidR="00CB2468" w:rsidRPr="008244BE">
        <w:rPr>
          <w:rFonts w:cstheme="minorHAnsi"/>
          <w:b/>
        </w:rPr>
        <w:t xml:space="preserve"> Przejmującej</w:t>
      </w:r>
    </w:p>
    <w:p w14:paraId="57C2AEFC" w14:textId="77777777" w:rsidR="002822A0" w:rsidRPr="009F174A" w:rsidRDefault="002822A0" w:rsidP="001F146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2BFEB36" w14:textId="6510CEF4" w:rsidR="0066144D" w:rsidRPr="009F174A" w:rsidRDefault="001F1A1E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10" w:name="_Hlk77941016"/>
      <w:r w:rsidRPr="009F174A">
        <w:rPr>
          <w:rFonts w:cstheme="minorHAnsi"/>
        </w:rPr>
        <w:t xml:space="preserve">Zgodnie z Planem </w:t>
      </w:r>
      <w:r w:rsidR="00176B14" w:rsidRPr="009F174A">
        <w:rPr>
          <w:rFonts w:cstheme="minorHAnsi"/>
        </w:rPr>
        <w:t>Połączenia</w:t>
      </w:r>
      <w:r w:rsidRPr="009F174A">
        <w:rPr>
          <w:rFonts w:cstheme="minorHAnsi"/>
        </w:rPr>
        <w:t xml:space="preserve"> na </w:t>
      </w:r>
      <w:r w:rsidR="0066144D" w:rsidRPr="009F174A">
        <w:rPr>
          <w:rFonts w:cstheme="minorHAnsi"/>
        </w:rPr>
        <w:t xml:space="preserve">Spółkę </w:t>
      </w:r>
      <w:r w:rsidR="005A020C" w:rsidRPr="009F174A">
        <w:rPr>
          <w:rFonts w:cstheme="minorHAnsi"/>
        </w:rPr>
        <w:t xml:space="preserve">Przejmującą </w:t>
      </w:r>
      <w:r w:rsidR="0066144D" w:rsidRPr="009F174A">
        <w:rPr>
          <w:rFonts w:cstheme="minorHAnsi"/>
        </w:rPr>
        <w:t>zostanie przeniesion</w:t>
      </w:r>
      <w:r w:rsidR="00176B14" w:rsidRPr="009F174A">
        <w:rPr>
          <w:rFonts w:cstheme="minorHAnsi"/>
        </w:rPr>
        <w:t>y</w:t>
      </w:r>
      <w:r w:rsidR="0066144D" w:rsidRPr="009F174A">
        <w:rPr>
          <w:rFonts w:cstheme="minorHAnsi"/>
        </w:rPr>
        <w:t xml:space="preserve"> </w:t>
      </w:r>
      <w:r w:rsidR="00176B14" w:rsidRPr="009F174A">
        <w:rPr>
          <w:rFonts w:cstheme="minorHAnsi"/>
        </w:rPr>
        <w:t xml:space="preserve">cały majątek </w:t>
      </w:r>
      <w:r w:rsidR="0066144D" w:rsidRPr="009F174A">
        <w:rPr>
          <w:rFonts w:cstheme="minorHAnsi"/>
        </w:rPr>
        <w:t xml:space="preserve">Spółki </w:t>
      </w:r>
      <w:r w:rsidR="00176B14" w:rsidRPr="009F174A">
        <w:rPr>
          <w:rFonts w:cstheme="minorHAnsi"/>
        </w:rPr>
        <w:t>Przejmowanej</w:t>
      </w:r>
      <w:r w:rsidR="0066144D" w:rsidRPr="009F174A">
        <w:rPr>
          <w:rFonts w:cstheme="minorHAnsi"/>
        </w:rPr>
        <w:t>.</w:t>
      </w:r>
      <w:r w:rsidR="001361BF" w:rsidRPr="009F174A">
        <w:rPr>
          <w:rFonts w:cstheme="minorHAnsi"/>
        </w:rPr>
        <w:t xml:space="preserve"> Szczegółowe uzasadnienie ustalenia stosunku wymiany akcji Spółki Przejmowanej na akcje Spółki Przejmującej zawarte </w:t>
      </w:r>
      <w:r w:rsidR="0037635A">
        <w:rPr>
          <w:rFonts w:cstheme="minorHAnsi"/>
        </w:rPr>
        <w:t xml:space="preserve">zostało </w:t>
      </w:r>
      <w:r w:rsidR="001361BF" w:rsidRPr="009F174A">
        <w:rPr>
          <w:rFonts w:cstheme="minorHAnsi"/>
        </w:rPr>
        <w:t>w Planie Połączenia.</w:t>
      </w:r>
    </w:p>
    <w:p w14:paraId="7681B671" w14:textId="77777777" w:rsidR="0067672E" w:rsidRPr="009F174A" w:rsidRDefault="0067672E" w:rsidP="001F146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2916041" w14:textId="0AE20529" w:rsidR="005D6845" w:rsidRPr="009F174A" w:rsidRDefault="00E37AAB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D6845" w:rsidRPr="009F174A">
        <w:rPr>
          <w:rFonts w:cstheme="minorHAnsi"/>
        </w:rPr>
        <w:t>godnie z Planem Połączenia</w:t>
      </w:r>
      <w:r w:rsidR="00613D6B">
        <w:rPr>
          <w:rFonts w:cstheme="minorHAnsi"/>
        </w:rPr>
        <w:t xml:space="preserve"> w</w:t>
      </w:r>
      <w:r w:rsidR="00613D6B" w:rsidRPr="009F174A">
        <w:rPr>
          <w:rFonts w:cstheme="minorHAnsi"/>
        </w:rPr>
        <w:t>ycena majątku Spółki Przejmującej</w:t>
      </w:r>
      <w:r w:rsidR="005D6845" w:rsidRPr="009F174A">
        <w:rPr>
          <w:rFonts w:cstheme="minorHAnsi"/>
        </w:rPr>
        <w:t xml:space="preserve"> została przeprowadzona według stanu na dzień </w:t>
      </w:r>
      <w:r w:rsidR="000404A8" w:rsidRPr="009F174A">
        <w:rPr>
          <w:rFonts w:cstheme="minorHAnsi"/>
        </w:rPr>
        <w:t xml:space="preserve">1 </w:t>
      </w:r>
      <w:r w:rsidR="00E83B6A">
        <w:rPr>
          <w:rFonts w:cstheme="minorHAnsi"/>
        </w:rPr>
        <w:t>sierpnia</w:t>
      </w:r>
      <w:r w:rsidR="00151EA3" w:rsidRPr="009F174A">
        <w:rPr>
          <w:rFonts w:cstheme="minorHAnsi"/>
        </w:rPr>
        <w:t xml:space="preserve"> 202</w:t>
      </w:r>
      <w:r w:rsidR="00E83B6A">
        <w:rPr>
          <w:rFonts w:cstheme="minorHAnsi"/>
        </w:rPr>
        <w:t>1</w:t>
      </w:r>
      <w:r w:rsidR="00127C70" w:rsidRPr="009F174A">
        <w:rPr>
          <w:rFonts w:cstheme="minorHAnsi"/>
        </w:rPr>
        <w:t xml:space="preserve"> </w:t>
      </w:r>
      <w:r w:rsidR="005D6845" w:rsidRPr="009F174A">
        <w:rPr>
          <w:rFonts w:cstheme="minorHAnsi"/>
        </w:rPr>
        <w:t xml:space="preserve">roku. </w:t>
      </w:r>
    </w:p>
    <w:p w14:paraId="3E26574F" w14:textId="77777777" w:rsidR="005D6845" w:rsidRPr="009F174A" w:rsidRDefault="005D6845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FF0464B" w14:textId="50D07440" w:rsidR="005D6845" w:rsidRPr="009F174A" w:rsidRDefault="005D6845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11" w:name="_Hlk78212793"/>
      <w:r w:rsidRPr="009F174A">
        <w:rPr>
          <w:rFonts w:cstheme="minorHAnsi"/>
        </w:rPr>
        <w:t xml:space="preserve">Wycena </w:t>
      </w:r>
      <w:r w:rsidR="001B4C06">
        <w:rPr>
          <w:rFonts w:cstheme="minorHAnsi"/>
        </w:rPr>
        <w:t xml:space="preserve">Spółki Przejmującej </w:t>
      </w:r>
      <w:r w:rsidRPr="009F174A">
        <w:rPr>
          <w:rFonts w:cstheme="minorHAnsi"/>
        </w:rPr>
        <w:t xml:space="preserve">została sporządzona </w:t>
      </w:r>
      <w:r w:rsidR="007878AC" w:rsidRPr="009F174A">
        <w:rPr>
          <w:rFonts w:cstheme="minorHAnsi"/>
        </w:rPr>
        <w:t>w oparciu o</w:t>
      </w:r>
      <w:r w:rsidRPr="009F174A">
        <w:rPr>
          <w:rFonts w:cstheme="minorHAnsi"/>
        </w:rPr>
        <w:t>:</w:t>
      </w:r>
    </w:p>
    <w:p w14:paraId="1FC587DC" w14:textId="3C4EC2B6" w:rsidR="005D6845" w:rsidRPr="009F174A" w:rsidRDefault="006D5F48" w:rsidP="001F14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>dane pochodzące z przedsiębiorstwa,</w:t>
      </w:r>
    </w:p>
    <w:p w14:paraId="77F9C9E0" w14:textId="53A68715" w:rsidR="005D6845" w:rsidRPr="00E43169" w:rsidRDefault="006E4D2B" w:rsidP="001F14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GB"/>
        </w:rPr>
      </w:pPr>
      <w:r w:rsidRPr="00E43169">
        <w:rPr>
          <w:rFonts w:cstheme="minorHAnsi"/>
          <w:lang w:val="en-GB"/>
        </w:rPr>
        <w:t>stronę internetową New Connect</w:t>
      </w:r>
      <w:r w:rsidR="00E43169" w:rsidRPr="00E43169">
        <w:rPr>
          <w:rFonts w:cstheme="minorHAnsi"/>
          <w:lang w:val="en-GB"/>
        </w:rPr>
        <w:t xml:space="preserve"> oraz stooq.pl</w:t>
      </w:r>
      <w:r w:rsidR="005D6845" w:rsidRPr="00E43169">
        <w:rPr>
          <w:rFonts w:cstheme="minorHAnsi"/>
          <w:lang w:val="en-GB"/>
        </w:rPr>
        <w:t>;</w:t>
      </w:r>
    </w:p>
    <w:p w14:paraId="44C2971A" w14:textId="4405C847" w:rsidR="005D6845" w:rsidRPr="009F174A" w:rsidRDefault="006D5F48" w:rsidP="001F14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>literaturę fachową</w:t>
      </w:r>
      <w:r w:rsidR="006E4D2B" w:rsidRPr="009F174A">
        <w:rPr>
          <w:rFonts w:cstheme="minorHAnsi"/>
        </w:rPr>
        <w:t xml:space="preserve"> dotyczącą wyceny wartości przedsiębiorstw</w:t>
      </w:r>
      <w:r w:rsidR="00E43169">
        <w:rPr>
          <w:rFonts w:cstheme="minorHAnsi"/>
        </w:rPr>
        <w:t>.</w:t>
      </w:r>
    </w:p>
    <w:bookmarkEnd w:id="11"/>
    <w:p w14:paraId="3C26B00E" w14:textId="77777777" w:rsidR="005D6845" w:rsidRPr="009F174A" w:rsidRDefault="005D6845" w:rsidP="001F146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43079204" w14:textId="1C97A1D9" w:rsidR="009E42B9" w:rsidRPr="009F174A" w:rsidRDefault="005D6845" w:rsidP="54F1B7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</w:pPr>
      <w:bookmarkStart w:id="12" w:name="_Hlk78212768"/>
      <w:r w:rsidRPr="54F1B7E3">
        <w:t>Metodologia wyceny, która została zastosowana w Planie Połączenia do określenia wartości Spółki Przejmującej</w:t>
      </w:r>
      <w:r w:rsidR="00211DB2" w:rsidRPr="54F1B7E3">
        <w:t>,</w:t>
      </w:r>
      <w:r w:rsidR="007878AC">
        <w:t xml:space="preserve"> </w:t>
      </w:r>
      <w:r w:rsidR="007878AC" w:rsidRPr="54F1B7E3">
        <w:t>polegała na przyjęciu wartości</w:t>
      </w:r>
      <w:r w:rsidR="006C7F9B" w:rsidRPr="54F1B7E3">
        <w:t xml:space="preserve"> godziwej</w:t>
      </w:r>
      <w:r w:rsidR="007878AC" w:rsidRPr="54F1B7E3">
        <w:t xml:space="preserve"> Spółki</w:t>
      </w:r>
      <w:r w:rsidR="00E315B9">
        <w:t xml:space="preserve"> Przejmującej</w:t>
      </w:r>
      <w:r w:rsidR="0063076D">
        <w:t>,</w:t>
      </w:r>
      <w:r w:rsidR="007878AC" w:rsidRPr="54F1B7E3">
        <w:t xml:space="preserve"> </w:t>
      </w:r>
      <w:r w:rsidR="006C7F9B" w:rsidRPr="54F1B7E3">
        <w:t>ustalonej</w:t>
      </w:r>
      <w:r w:rsidR="0062229B" w:rsidRPr="54F1B7E3">
        <w:t xml:space="preserve"> w oparciu o wycenę metodą </w:t>
      </w:r>
      <w:r w:rsidR="7261B7E7" w:rsidRPr="54F1B7E3">
        <w:t>rynkową 100</w:t>
      </w:r>
      <w:r w:rsidR="2002400C" w:rsidRPr="54F1B7E3">
        <w:t xml:space="preserve">% </w:t>
      </w:r>
      <w:r w:rsidR="53ED5E59" w:rsidRPr="54F1B7E3">
        <w:t xml:space="preserve">akcji </w:t>
      </w:r>
      <w:r w:rsidR="00E315B9" w:rsidRPr="54F1B7E3">
        <w:t>Spółki</w:t>
      </w:r>
      <w:r w:rsidR="00E315B9">
        <w:t xml:space="preserve"> Przejmującej</w:t>
      </w:r>
      <w:r w:rsidR="0062229B" w:rsidRPr="54F1B7E3">
        <w:t xml:space="preserve">, </w:t>
      </w:r>
      <w:r w:rsidR="5D19B169" w:rsidRPr="54F1B7E3">
        <w:t xml:space="preserve">sporządzoną </w:t>
      </w:r>
      <w:r w:rsidR="41F55887" w:rsidRPr="54F1B7E3">
        <w:t>na dzień</w:t>
      </w:r>
      <w:r w:rsidR="0062229B" w:rsidRPr="54F1B7E3">
        <w:t xml:space="preserve"> </w:t>
      </w:r>
      <w:r w:rsidR="6700B75A" w:rsidRPr="54F1B7E3">
        <w:t xml:space="preserve">1 </w:t>
      </w:r>
      <w:r w:rsidR="008E0527">
        <w:t>sierpnia</w:t>
      </w:r>
      <w:r w:rsidR="006C7F9B" w:rsidRPr="54F1B7E3">
        <w:t xml:space="preserve"> </w:t>
      </w:r>
      <w:r w:rsidR="0DE9C093" w:rsidRPr="54F1B7E3">
        <w:t>202</w:t>
      </w:r>
      <w:r w:rsidR="008E0527">
        <w:t>1</w:t>
      </w:r>
      <w:r w:rsidR="0DE9C093" w:rsidRPr="54F1B7E3">
        <w:t xml:space="preserve"> roku</w:t>
      </w:r>
      <w:r w:rsidR="0062229B" w:rsidRPr="54F1B7E3">
        <w:t xml:space="preserve">. </w:t>
      </w:r>
      <w:bookmarkEnd w:id="12"/>
    </w:p>
    <w:p w14:paraId="48095D94" w14:textId="77777777" w:rsidR="00903290" w:rsidRPr="009F174A" w:rsidRDefault="00903290" w:rsidP="0090329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0BA86859" w14:textId="77CF8899" w:rsidR="009F174A" w:rsidRDefault="0009396B" w:rsidP="0037635A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Posłużenie się wartością rynkową Spółki Przejmującej na użytek Połączenia jest uzasadnione ze względu na fakt, że Spółka Przejmująca od dnia 22 listopada 2012 r. </w:t>
      </w:r>
      <w:r w:rsidR="006E6EBC">
        <w:t xml:space="preserve">jest </w:t>
      </w:r>
      <w:r>
        <w:t>spółką</w:t>
      </w:r>
      <w:r w:rsidR="006E6EBC">
        <w:t>, której akcje</w:t>
      </w:r>
      <w:r>
        <w:t xml:space="preserve"> notowan</w:t>
      </w:r>
      <w:r w:rsidR="006E6EBC">
        <w:t>e są</w:t>
      </w:r>
      <w:r>
        <w:t xml:space="preserve"> w </w:t>
      </w:r>
      <w:r w:rsidR="006E6EBC">
        <w:rPr>
          <w:rFonts w:cstheme="minorHAnsi"/>
        </w:rPr>
        <w:t xml:space="preserve">Alternatywnym Systemie Obrotu </w:t>
      </w:r>
      <w:r w:rsidR="006E6EBC">
        <w:t>NewConnect</w:t>
      </w:r>
      <w:r>
        <w:t>, co powoduje, że aktualną wycenę wartości akcji Spółki Przejmującej dla akcjonariuszy wyznaczają notowania na tym rynku</w:t>
      </w:r>
      <w:r w:rsidR="00903290" w:rsidRPr="54F1B7E3">
        <w:t>.</w:t>
      </w:r>
    </w:p>
    <w:p w14:paraId="27CB79DF" w14:textId="77777777" w:rsidR="0037635A" w:rsidRPr="0037635A" w:rsidRDefault="0037635A" w:rsidP="0037635A">
      <w:pPr>
        <w:pStyle w:val="Akapitzlist"/>
        <w:spacing w:line="276" w:lineRule="auto"/>
        <w:ind w:left="360"/>
        <w:jc w:val="both"/>
      </w:pPr>
    </w:p>
    <w:p w14:paraId="6940F44D" w14:textId="1460B2CA" w:rsidR="00B16737" w:rsidRPr="009F174A" w:rsidRDefault="00613D6B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9F174A">
        <w:rPr>
          <w:rFonts w:cstheme="minorHAnsi"/>
        </w:rPr>
        <w:t xml:space="preserve">godnie z Planem Połączenia </w:t>
      </w:r>
      <w:r>
        <w:rPr>
          <w:rFonts w:cstheme="minorHAnsi"/>
        </w:rPr>
        <w:t>w</w:t>
      </w:r>
      <w:r w:rsidR="001F1A1E" w:rsidRPr="009F174A">
        <w:rPr>
          <w:rFonts w:cstheme="minorHAnsi"/>
        </w:rPr>
        <w:t>ycena maj</w:t>
      </w:r>
      <w:r w:rsidR="0067672E" w:rsidRPr="009F174A">
        <w:rPr>
          <w:rFonts w:cstheme="minorHAnsi"/>
        </w:rPr>
        <w:t>ą</w:t>
      </w:r>
      <w:r w:rsidR="001F1A1E" w:rsidRPr="009F174A">
        <w:rPr>
          <w:rFonts w:cstheme="minorHAnsi"/>
        </w:rPr>
        <w:t xml:space="preserve">tku </w:t>
      </w:r>
      <w:r w:rsidR="0067672E" w:rsidRPr="009F174A">
        <w:rPr>
          <w:rFonts w:cstheme="minorHAnsi"/>
        </w:rPr>
        <w:t xml:space="preserve">Spółki </w:t>
      </w:r>
      <w:r w:rsidR="00176B14" w:rsidRPr="009F174A">
        <w:rPr>
          <w:rFonts w:cstheme="minorHAnsi"/>
        </w:rPr>
        <w:t>Przejmowanej</w:t>
      </w:r>
      <w:r w:rsidR="00292370" w:rsidRPr="009F174A">
        <w:rPr>
          <w:rFonts w:cstheme="minorHAnsi"/>
        </w:rPr>
        <w:t xml:space="preserve"> </w:t>
      </w:r>
      <w:r w:rsidR="001F1A1E" w:rsidRPr="009F174A">
        <w:rPr>
          <w:rFonts w:cstheme="minorHAnsi"/>
        </w:rPr>
        <w:t>został</w:t>
      </w:r>
      <w:r w:rsidR="00292370" w:rsidRPr="009F174A">
        <w:rPr>
          <w:rFonts w:cstheme="minorHAnsi"/>
        </w:rPr>
        <w:t xml:space="preserve">a </w:t>
      </w:r>
      <w:r w:rsidR="001F1A1E" w:rsidRPr="009F174A">
        <w:rPr>
          <w:rFonts w:cstheme="minorHAnsi"/>
        </w:rPr>
        <w:t>przeprowadzona</w:t>
      </w:r>
      <w:r>
        <w:rPr>
          <w:rFonts w:cstheme="minorHAnsi"/>
        </w:rPr>
        <w:t xml:space="preserve"> </w:t>
      </w:r>
      <w:r w:rsidR="001F1A1E" w:rsidRPr="009F174A">
        <w:rPr>
          <w:rFonts w:cstheme="minorHAnsi"/>
        </w:rPr>
        <w:t>w</w:t>
      </w:r>
      <w:r w:rsidR="00176B14" w:rsidRPr="009F174A">
        <w:rPr>
          <w:rFonts w:cstheme="minorHAnsi"/>
        </w:rPr>
        <w:t xml:space="preserve">edług stanu na dzień </w:t>
      </w:r>
      <w:r w:rsidR="000404A8" w:rsidRPr="009F174A">
        <w:rPr>
          <w:rFonts w:cstheme="minorHAnsi"/>
        </w:rPr>
        <w:t xml:space="preserve">1 </w:t>
      </w:r>
      <w:r w:rsidR="00013348">
        <w:rPr>
          <w:rFonts w:cstheme="minorHAnsi"/>
        </w:rPr>
        <w:t>sierpnia</w:t>
      </w:r>
      <w:r w:rsidR="00EF78A8" w:rsidRPr="009F174A">
        <w:rPr>
          <w:rFonts w:cstheme="minorHAnsi"/>
        </w:rPr>
        <w:t xml:space="preserve"> 202</w:t>
      </w:r>
      <w:r w:rsidR="009D3558">
        <w:rPr>
          <w:rFonts w:cstheme="minorHAnsi"/>
        </w:rPr>
        <w:t>1</w:t>
      </w:r>
      <w:r w:rsidR="00EF78A8" w:rsidRPr="009F174A">
        <w:rPr>
          <w:rFonts w:cstheme="minorHAnsi"/>
        </w:rPr>
        <w:t xml:space="preserve"> </w:t>
      </w:r>
      <w:r w:rsidR="00176B14" w:rsidRPr="009F174A">
        <w:rPr>
          <w:rFonts w:cstheme="minorHAnsi"/>
        </w:rPr>
        <w:t>roku</w:t>
      </w:r>
      <w:r w:rsidR="001F1A1E" w:rsidRPr="009F174A">
        <w:rPr>
          <w:rFonts w:cstheme="minorHAnsi"/>
        </w:rPr>
        <w:t xml:space="preserve">. </w:t>
      </w:r>
    </w:p>
    <w:p w14:paraId="7BE9137F" w14:textId="77777777" w:rsidR="00B16737" w:rsidRPr="009F174A" w:rsidRDefault="00B16737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79DF40F" w14:textId="77B98EDA" w:rsidR="001F1A1E" w:rsidRPr="009F174A" w:rsidRDefault="001F1A1E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>Wycena</w:t>
      </w:r>
      <w:r w:rsidR="0089073D">
        <w:rPr>
          <w:rFonts w:cstheme="minorHAnsi"/>
        </w:rPr>
        <w:t xml:space="preserve"> </w:t>
      </w:r>
      <w:r w:rsidR="0089073D" w:rsidRPr="009F174A">
        <w:rPr>
          <w:rFonts w:cstheme="minorHAnsi"/>
        </w:rPr>
        <w:t>majątku Spółki Przejmowanej</w:t>
      </w:r>
      <w:r w:rsidRPr="009F174A">
        <w:rPr>
          <w:rFonts w:cstheme="minorHAnsi"/>
        </w:rPr>
        <w:t xml:space="preserve"> została sporz</w:t>
      </w:r>
      <w:r w:rsidR="00BB20FE" w:rsidRPr="009F174A">
        <w:rPr>
          <w:rFonts w:cstheme="minorHAnsi"/>
        </w:rPr>
        <w:t>ą</w:t>
      </w:r>
      <w:r w:rsidRPr="009F174A">
        <w:rPr>
          <w:rFonts w:cstheme="minorHAnsi"/>
        </w:rPr>
        <w:t xml:space="preserve">dzona </w:t>
      </w:r>
      <w:r w:rsidR="00F846C1" w:rsidRPr="009F174A">
        <w:rPr>
          <w:rFonts w:cstheme="minorHAnsi"/>
        </w:rPr>
        <w:t>w oparciu o</w:t>
      </w:r>
      <w:r w:rsidRPr="009F174A">
        <w:rPr>
          <w:rFonts w:cstheme="minorHAnsi"/>
        </w:rPr>
        <w:t>:</w:t>
      </w:r>
    </w:p>
    <w:p w14:paraId="6AF0D29E" w14:textId="4F21EFC9" w:rsidR="00F846C1" w:rsidRPr="009F174A" w:rsidRDefault="00F846C1" w:rsidP="00F846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>dane pochodzące z przedsiębiorstwa (Spółki Przejmowanej),</w:t>
      </w:r>
    </w:p>
    <w:p w14:paraId="78E4A964" w14:textId="2C5ED8DC" w:rsidR="00292370" w:rsidRDefault="00F846C1" w:rsidP="001F14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>literaturę fachową dotyczącą wyceny wartości przedsiębiorstw</w:t>
      </w:r>
      <w:r w:rsidR="0089073D">
        <w:rPr>
          <w:rFonts w:cstheme="minorHAnsi"/>
        </w:rPr>
        <w:t>.</w:t>
      </w:r>
    </w:p>
    <w:p w14:paraId="4A3DA11A" w14:textId="77777777" w:rsidR="0089073D" w:rsidRPr="0089073D" w:rsidRDefault="0089073D" w:rsidP="0089073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543DAA1" w14:textId="04226905" w:rsidR="00706164" w:rsidRPr="009F174A" w:rsidRDefault="00706164" w:rsidP="54F1B7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</w:pPr>
      <w:r w:rsidRPr="54F1B7E3">
        <w:t>Metodologia wyceny, która została zastosowana w Planie Połączenia do określenia wartości Spółki Przejmowanej polegała na przyjęciu wartości godziwej</w:t>
      </w:r>
      <w:r w:rsidR="00673EE7">
        <w:t>,</w:t>
      </w:r>
      <w:r w:rsidRPr="54F1B7E3">
        <w:t xml:space="preserve"> ustalonej na dzień 1 </w:t>
      </w:r>
      <w:r w:rsidR="00DD36C9">
        <w:t>sierpnia</w:t>
      </w:r>
      <w:r w:rsidRPr="54F1B7E3">
        <w:t xml:space="preserve"> 2021 roku w oparciu o </w:t>
      </w:r>
      <w:r w:rsidRPr="54F1B7E3">
        <w:rPr>
          <w:color w:val="000000" w:themeColor="text1"/>
        </w:rPr>
        <w:t xml:space="preserve">metodę </w:t>
      </w:r>
      <w:r w:rsidR="00E97D1F" w:rsidRPr="54F1B7E3">
        <w:rPr>
          <w:color w:val="000000" w:themeColor="text1"/>
        </w:rPr>
        <w:t>skorygowanych aktywów netto</w:t>
      </w:r>
      <w:r w:rsidR="00977C2F">
        <w:rPr>
          <w:color w:val="000000" w:themeColor="text1"/>
        </w:rPr>
        <w:t>.</w:t>
      </w:r>
    </w:p>
    <w:p w14:paraId="075785F7" w14:textId="77777777" w:rsidR="00D75B6F" w:rsidRPr="009F174A" w:rsidRDefault="00D75B6F" w:rsidP="001F146A">
      <w:pPr>
        <w:pStyle w:val="Akapitzlist"/>
        <w:spacing w:line="276" w:lineRule="auto"/>
        <w:rPr>
          <w:rFonts w:cstheme="minorHAnsi"/>
        </w:rPr>
      </w:pPr>
    </w:p>
    <w:p w14:paraId="5415A526" w14:textId="386AA7B4" w:rsidR="00211DB2" w:rsidRPr="009F174A" w:rsidRDefault="005D6684" w:rsidP="54F1B7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</w:pPr>
      <w:bookmarkStart w:id="13" w:name="_Hlk78296019"/>
      <w:r>
        <w:t>Na podstawie</w:t>
      </w:r>
      <w:r w:rsidR="00FF62F3" w:rsidRPr="54F1B7E3">
        <w:t xml:space="preserve"> powyższ</w:t>
      </w:r>
      <w:r w:rsidR="00DF1472">
        <w:t xml:space="preserve">ych </w:t>
      </w:r>
      <w:r w:rsidR="00FF62F3" w:rsidRPr="54F1B7E3">
        <w:t>wyc</w:t>
      </w:r>
      <w:r w:rsidR="00DF1472">
        <w:t>en</w:t>
      </w:r>
      <w:r>
        <w:t>,</w:t>
      </w:r>
      <w:r w:rsidR="00FF62F3" w:rsidRPr="54F1B7E3">
        <w:t xml:space="preserve"> </w:t>
      </w:r>
      <w:bookmarkStart w:id="14" w:name="_Hlk25518134"/>
      <w:r w:rsidR="00FF62F3" w:rsidRPr="54F1B7E3">
        <w:t>Zarządy obu Spółek ustaliły</w:t>
      </w:r>
      <w:bookmarkEnd w:id="14"/>
      <w:r w:rsidR="00FF62F3" w:rsidRPr="54F1B7E3">
        <w:t xml:space="preserve">, że akcjonariusze Spółki Przejmującej </w:t>
      </w:r>
      <w:r w:rsidR="003749E5" w:rsidRPr="54F1B7E3">
        <w:t>będą posiadali</w:t>
      </w:r>
      <w:r w:rsidR="00BD0FE2">
        <w:t xml:space="preserve"> po Połączeniu</w:t>
      </w:r>
      <w:r w:rsidR="003749E5" w:rsidRPr="54F1B7E3">
        <w:t xml:space="preserve"> udział w kapitale zakładowym </w:t>
      </w:r>
      <w:r w:rsidR="00420250">
        <w:t>Spółki Prze</w:t>
      </w:r>
      <w:r w:rsidR="00BD0FE2">
        <w:t>jmującej</w:t>
      </w:r>
      <w:r w:rsidR="003749E5" w:rsidRPr="54F1B7E3">
        <w:t xml:space="preserve"> wynoszący 10,0</w:t>
      </w:r>
      <w:r w:rsidR="00D2622B">
        <w:t>5</w:t>
      </w:r>
      <w:r w:rsidR="003749E5" w:rsidRPr="54F1B7E3">
        <w:t>% (</w:t>
      </w:r>
      <w:r w:rsidR="00BD0FE2">
        <w:t xml:space="preserve">słownie: </w:t>
      </w:r>
      <w:r w:rsidR="003749E5" w:rsidRPr="54F1B7E3">
        <w:t xml:space="preserve">dziesięć </w:t>
      </w:r>
      <w:r w:rsidR="00FB2D9C">
        <w:t xml:space="preserve">procent </w:t>
      </w:r>
      <w:r w:rsidR="00FC7425">
        <w:t>0</w:t>
      </w:r>
      <w:r w:rsidR="00FB2D9C">
        <w:t>5/100</w:t>
      </w:r>
      <w:r w:rsidR="003749E5" w:rsidRPr="54F1B7E3">
        <w:t>)</w:t>
      </w:r>
      <w:r w:rsidR="00482C91">
        <w:t xml:space="preserve"> wszystkich akcji w kapitale zakładowym Spółki Przejmującej</w:t>
      </w:r>
      <w:r w:rsidR="003749E5" w:rsidRPr="54F1B7E3">
        <w:t>.</w:t>
      </w:r>
      <w:r w:rsidR="14F937EB" w:rsidRPr="54F1B7E3">
        <w:t xml:space="preserve"> </w:t>
      </w:r>
      <w:r w:rsidR="003749E5" w:rsidRPr="54F1B7E3">
        <w:t xml:space="preserve">Każdy </w:t>
      </w:r>
      <w:r w:rsidR="00C016FD">
        <w:t>z akcjonariuszy</w:t>
      </w:r>
      <w:r w:rsidR="003749E5" w:rsidRPr="54F1B7E3">
        <w:t xml:space="preserve"> Spółki Przejmowanej </w:t>
      </w:r>
      <w:r w:rsidR="4945FCE9" w:rsidRPr="54F1B7E3">
        <w:t>otrzyma w</w:t>
      </w:r>
      <w:r w:rsidR="003749E5" w:rsidRPr="54F1B7E3">
        <w:t xml:space="preserve"> ramach Połączenia,  w </w:t>
      </w:r>
      <w:r w:rsidR="490A5F10" w:rsidRPr="54F1B7E3">
        <w:t>zamian za</w:t>
      </w:r>
      <w:r w:rsidR="003749E5" w:rsidRPr="54F1B7E3">
        <w:t xml:space="preserve">  </w:t>
      </w:r>
      <w:r w:rsidR="00C016FD">
        <w:t>3</w:t>
      </w:r>
      <w:r w:rsidR="003749E5" w:rsidRPr="54F1B7E3">
        <w:t xml:space="preserve"> (</w:t>
      </w:r>
      <w:r w:rsidR="00FC7425">
        <w:t xml:space="preserve">słownie: </w:t>
      </w:r>
      <w:r w:rsidR="00C016FD">
        <w:t>trzy</w:t>
      </w:r>
      <w:r w:rsidR="003749E5" w:rsidRPr="54F1B7E3">
        <w:t xml:space="preserve">) </w:t>
      </w:r>
      <w:r w:rsidR="00C016FD">
        <w:t>a</w:t>
      </w:r>
      <w:r w:rsidR="00C05CA3">
        <w:t>kcje</w:t>
      </w:r>
      <w:r w:rsidR="0A86768E" w:rsidRPr="54F1B7E3">
        <w:t xml:space="preserve"> w</w:t>
      </w:r>
      <w:r w:rsidR="003749E5" w:rsidRPr="54F1B7E3">
        <w:t xml:space="preserve"> kapitale zakładowym Spółki Przejmowanej o wartości nominalnej </w:t>
      </w:r>
      <w:r w:rsidR="00FC7425">
        <w:t>0,01 zł (słownie: zero złotych 01/100)</w:t>
      </w:r>
      <w:r w:rsidR="00AE52BE">
        <w:t xml:space="preserve"> 1 </w:t>
      </w:r>
      <w:r w:rsidR="003749E5" w:rsidRPr="54F1B7E3">
        <w:t>(</w:t>
      </w:r>
      <w:r w:rsidR="00FC7425">
        <w:t xml:space="preserve">słownie: </w:t>
      </w:r>
      <w:r w:rsidR="00AE52BE">
        <w:t>jed</w:t>
      </w:r>
      <w:r w:rsidR="009063D8">
        <w:t>ną</w:t>
      </w:r>
      <w:r w:rsidR="003749E5" w:rsidRPr="54F1B7E3">
        <w:t>)</w:t>
      </w:r>
      <w:r w:rsidR="58F48BCC" w:rsidRPr="54F1B7E3">
        <w:t xml:space="preserve"> </w:t>
      </w:r>
      <w:r w:rsidR="009D3BFA">
        <w:t>akcję w kapitale zakładowym Spółki Przejmującej</w:t>
      </w:r>
      <w:r w:rsidR="00AE52BE">
        <w:t xml:space="preserve">, </w:t>
      </w:r>
      <w:r w:rsidR="00EC5B9B">
        <w:t>w taki sposób, że ł</w:t>
      </w:r>
      <w:r w:rsidR="009063D8">
        <w:t>ą</w:t>
      </w:r>
      <w:r w:rsidR="00EC5B9B">
        <w:t>czna liczba Akcji Emisji Połączeniowej</w:t>
      </w:r>
      <w:r w:rsidR="005B3AAD">
        <w:t>, wydanych akcjonariuszom Spółki Przejmowanej</w:t>
      </w:r>
      <w:r w:rsidR="00EC5B9B">
        <w:t xml:space="preserve"> </w:t>
      </w:r>
      <w:r w:rsidR="009063D8">
        <w:t>będzie wynosić 36.707.460 (</w:t>
      </w:r>
      <w:r w:rsidR="00B33E61">
        <w:t>słownie: trzydzieści sześć milionów siedemset siedem tysięcy czterysta sześćdziesiąt</w:t>
      </w:r>
      <w:r w:rsidR="00274759">
        <w:t>) akcji</w:t>
      </w:r>
      <w:r w:rsidR="003749E5" w:rsidRPr="54F1B7E3">
        <w:t xml:space="preserve">. Zatem parytet wymiany </w:t>
      </w:r>
      <w:r w:rsidR="00B33E61">
        <w:t>akcji</w:t>
      </w:r>
      <w:r w:rsidR="003749E5" w:rsidRPr="54F1B7E3">
        <w:t xml:space="preserve"> Spółki Przejmowanej na akcje Spółki Przejmującej wynosi </w:t>
      </w:r>
      <w:r w:rsidR="00AE52BE">
        <w:t>3</w:t>
      </w:r>
      <w:r w:rsidR="003749E5" w:rsidRPr="54F1B7E3">
        <w:t>:</w:t>
      </w:r>
      <w:r w:rsidR="00AE52BE">
        <w:t>1</w:t>
      </w:r>
      <w:r w:rsidR="003749E5" w:rsidRPr="54F1B7E3">
        <w:t>.</w:t>
      </w:r>
      <w:r w:rsidR="05A88F5A" w:rsidRPr="54F1B7E3">
        <w:t xml:space="preserve"> </w:t>
      </w:r>
      <w:r w:rsidR="003749E5" w:rsidRPr="54F1B7E3">
        <w:t>Z uwagi na specyfikę procesu łączenia przy ustalaniu wyników operacji matematycznych zastosowano powszechnie obowiązujące matematyczne zasady zaokrągleń</w:t>
      </w:r>
      <w:r w:rsidR="009C5053" w:rsidRPr="54F1B7E3">
        <w:t>.</w:t>
      </w:r>
      <w:bookmarkEnd w:id="13"/>
    </w:p>
    <w:p w14:paraId="0A5F8E52" w14:textId="2041D4BF" w:rsidR="009C5053" w:rsidRPr="009F174A" w:rsidRDefault="009C5053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lastRenderedPageBreak/>
        <w:t xml:space="preserve">Akcje w podwyższonym kapitale zakładowym Spółki Przejmującej zostaną przyznane osobom i podmiotom będącym </w:t>
      </w:r>
      <w:r w:rsidR="00D51F67" w:rsidRPr="009F174A">
        <w:rPr>
          <w:rFonts w:cstheme="minorHAnsi"/>
        </w:rPr>
        <w:t>akcjonariuszami</w:t>
      </w:r>
      <w:r w:rsidRPr="009F174A">
        <w:rPr>
          <w:rFonts w:cstheme="minorHAnsi"/>
        </w:rPr>
        <w:t xml:space="preserve"> </w:t>
      </w:r>
      <w:r w:rsidR="004A52D6" w:rsidRPr="009F174A">
        <w:rPr>
          <w:rFonts w:cstheme="minorHAnsi"/>
        </w:rPr>
        <w:t>Spółki Przejmowanej</w:t>
      </w:r>
      <w:r w:rsidRPr="009F174A">
        <w:rPr>
          <w:rFonts w:cstheme="minorHAnsi"/>
        </w:rPr>
        <w:t xml:space="preserve"> w </w:t>
      </w:r>
      <w:r w:rsidR="008F2FD6">
        <w:rPr>
          <w:rFonts w:cstheme="minorHAnsi"/>
        </w:rPr>
        <w:t>D</w:t>
      </w:r>
      <w:r w:rsidRPr="009F174A">
        <w:rPr>
          <w:rFonts w:cstheme="minorHAnsi"/>
        </w:rPr>
        <w:t xml:space="preserve">niu </w:t>
      </w:r>
      <w:r w:rsidR="008F2FD6">
        <w:rPr>
          <w:rFonts w:cstheme="minorHAnsi"/>
        </w:rPr>
        <w:t>P</w:t>
      </w:r>
      <w:r w:rsidRPr="009F174A">
        <w:rPr>
          <w:rFonts w:cstheme="minorHAnsi"/>
        </w:rPr>
        <w:t xml:space="preserve">ołączenia, proporcjonalnie do liczby </w:t>
      </w:r>
      <w:r w:rsidR="00F2098A" w:rsidRPr="009F174A">
        <w:rPr>
          <w:rFonts w:cstheme="minorHAnsi"/>
        </w:rPr>
        <w:t>akcji</w:t>
      </w:r>
      <w:r w:rsidRPr="009F174A">
        <w:rPr>
          <w:rFonts w:cstheme="minorHAnsi"/>
        </w:rPr>
        <w:t xml:space="preserve"> posiadanych przez nich w kapitale zakładowym </w:t>
      </w:r>
      <w:r w:rsidR="004A52D6" w:rsidRPr="009F174A">
        <w:rPr>
          <w:rFonts w:cstheme="minorHAnsi"/>
        </w:rPr>
        <w:t>Spółki Przejmowanej</w:t>
      </w:r>
      <w:r w:rsidRPr="009F174A">
        <w:rPr>
          <w:rFonts w:cstheme="minorHAnsi"/>
        </w:rPr>
        <w:t>, z zachowaniem parytetu wymiany wskazanego w Planie Połączenia.</w:t>
      </w:r>
    </w:p>
    <w:p w14:paraId="15CBA3E9" w14:textId="77777777" w:rsidR="009C5053" w:rsidRPr="009F174A" w:rsidRDefault="009C5053" w:rsidP="001F146A">
      <w:pPr>
        <w:pStyle w:val="Akapitzlist"/>
        <w:spacing w:line="276" w:lineRule="auto"/>
        <w:rPr>
          <w:rFonts w:cstheme="minorHAnsi"/>
        </w:rPr>
      </w:pPr>
    </w:p>
    <w:p w14:paraId="6219E0A2" w14:textId="2DCC2B4A" w:rsidR="009C5053" w:rsidRPr="009F174A" w:rsidRDefault="00EB38DB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 xml:space="preserve">Liczba </w:t>
      </w:r>
      <w:r w:rsidR="004E412D">
        <w:rPr>
          <w:rFonts w:cstheme="minorHAnsi"/>
        </w:rPr>
        <w:t>Akcji Emisji Połączeniowej</w:t>
      </w:r>
      <w:r w:rsidRPr="009F174A">
        <w:rPr>
          <w:rFonts w:cstheme="minorHAnsi"/>
        </w:rPr>
        <w:t xml:space="preserve"> jak</w:t>
      </w:r>
      <w:r w:rsidR="004E412D">
        <w:rPr>
          <w:rFonts w:cstheme="minorHAnsi"/>
        </w:rPr>
        <w:t>ą</w:t>
      </w:r>
      <w:r w:rsidRPr="009F174A">
        <w:rPr>
          <w:rFonts w:cstheme="minorHAnsi"/>
        </w:rPr>
        <w:t xml:space="preserve"> otrzyma każdy uprawniony </w:t>
      </w:r>
      <w:r w:rsidR="00F2098A" w:rsidRPr="009F174A">
        <w:rPr>
          <w:rFonts w:cstheme="minorHAnsi"/>
        </w:rPr>
        <w:t>akcjonariusz</w:t>
      </w:r>
      <w:r w:rsidRPr="009F174A">
        <w:rPr>
          <w:rFonts w:cstheme="minorHAnsi"/>
        </w:rPr>
        <w:t xml:space="preserve"> Spółki Przejmowanej</w:t>
      </w:r>
      <w:r w:rsidR="004E412D">
        <w:rPr>
          <w:rFonts w:cstheme="minorHAnsi"/>
        </w:rPr>
        <w:t xml:space="preserve"> </w:t>
      </w:r>
      <w:r w:rsidRPr="009F174A">
        <w:rPr>
          <w:rFonts w:cstheme="minorHAnsi"/>
        </w:rPr>
        <w:t xml:space="preserve">zostanie ustalona </w:t>
      </w:r>
      <w:r w:rsidR="008449A8">
        <w:rPr>
          <w:rFonts w:cstheme="minorHAnsi"/>
        </w:rPr>
        <w:t>jako iloczyn</w:t>
      </w:r>
      <w:r w:rsidRPr="009F174A">
        <w:rPr>
          <w:rFonts w:cstheme="minorHAnsi"/>
        </w:rPr>
        <w:t xml:space="preserve"> posiadanej przez </w:t>
      </w:r>
      <w:r w:rsidR="001E2A24" w:rsidRPr="009F174A">
        <w:rPr>
          <w:rFonts w:cstheme="minorHAnsi"/>
        </w:rPr>
        <w:t>akcjonariusz</w:t>
      </w:r>
      <w:r w:rsidR="001E2A24">
        <w:rPr>
          <w:rFonts w:cstheme="minorHAnsi"/>
        </w:rPr>
        <w:t>a</w:t>
      </w:r>
      <w:r w:rsidR="001E2A24" w:rsidRPr="009F174A">
        <w:rPr>
          <w:rFonts w:cstheme="minorHAnsi"/>
        </w:rPr>
        <w:t xml:space="preserve"> Spółki Przejmowanej</w:t>
      </w:r>
      <w:r w:rsidRPr="009F174A">
        <w:rPr>
          <w:rFonts w:cstheme="minorHAnsi"/>
        </w:rPr>
        <w:t xml:space="preserve"> liczby </w:t>
      </w:r>
      <w:r w:rsidR="00BA3521">
        <w:rPr>
          <w:rFonts w:cstheme="minorHAnsi"/>
        </w:rPr>
        <w:t>akcji</w:t>
      </w:r>
      <w:r w:rsidRPr="009F174A">
        <w:rPr>
          <w:rFonts w:cstheme="minorHAnsi"/>
        </w:rPr>
        <w:t xml:space="preserve"> w kapitale zakładowym Spółki Przejmowanej</w:t>
      </w:r>
      <w:r w:rsidR="001E2A24">
        <w:rPr>
          <w:rFonts w:cstheme="minorHAnsi"/>
        </w:rPr>
        <w:t>,</w:t>
      </w:r>
      <w:r w:rsidRPr="009F174A">
        <w:rPr>
          <w:rFonts w:cstheme="minorHAnsi"/>
        </w:rPr>
        <w:t xml:space="preserve"> według stanu na </w:t>
      </w:r>
      <w:r w:rsidR="00F56A38" w:rsidRPr="009F174A">
        <w:rPr>
          <w:rFonts w:cstheme="minorHAnsi"/>
        </w:rPr>
        <w:t>Dzień Połączenia</w:t>
      </w:r>
      <w:r w:rsidR="001C044A">
        <w:rPr>
          <w:rFonts w:cstheme="minorHAnsi"/>
        </w:rPr>
        <w:t>,</w:t>
      </w:r>
      <w:r w:rsidRPr="009F174A">
        <w:rPr>
          <w:rFonts w:cstheme="minorHAnsi"/>
        </w:rPr>
        <w:t xml:space="preserve"> </w:t>
      </w:r>
      <w:r w:rsidR="00A43085">
        <w:rPr>
          <w:rFonts w:cstheme="minorHAnsi"/>
        </w:rPr>
        <w:t xml:space="preserve">oraz </w:t>
      </w:r>
      <w:r w:rsidRPr="009F174A">
        <w:rPr>
          <w:rFonts w:cstheme="minorHAnsi"/>
        </w:rPr>
        <w:t>paryt</w:t>
      </w:r>
      <w:r w:rsidR="00A43085">
        <w:rPr>
          <w:rFonts w:cstheme="minorHAnsi"/>
        </w:rPr>
        <w:t>etu</w:t>
      </w:r>
      <w:r w:rsidRPr="009F174A">
        <w:rPr>
          <w:rFonts w:cstheme="minorHAnsi"/>
        </w:rPr>
        <w:t xml:space="preserve"> wymiany</w:t>
      </w:r>
      <w:r w:rsidR="00A43085">
        <w:rPr>
          <w:rFonts w:cstheme="minorHAnsi"/>
        </w:rPr>
        <w:t xml:space="preserve">, wskazanego </w:t>
      </w:r>
      <w:r w:rsidRPr="009F174A">
        <w:rPr>
          <w:rFonts w:cstheme="minorHAnsi"/>
        </w:rPr>
        <w:t>w Planie Połączenia</w:t>
      </w:r>
      <w:r w:rsidR="009C5053" w:rsidRPr="009F174A">
        <w:rPr>
          <w:rFonts w:cstheme="minorHAnsi"/>
        </w:rPr>
        <w:t>.</w:t>
      </w:r>
    </w:p>
    <w:p w14:paraId="093D7481" w14:textId="77777777" w:rsidR="009C5053" w:rsidRPr="009F174A" w:rsidRDefault="009C5053" w:rsidP="001F146A">
      <w:pPr>
        <w:pStyle w:val="Akapitzlist"/>
        <w:spacing w:line="276" w:lineRule="auto"/>
        <w:rPr>
          <w:rFonts w:cstheme="minorHAnsi"/>
        </w:rPr>
      </w:pPr>
    </w:p>
    <w:p w14:paraId="7A6ED710" w14:textId="1E69B422" w:rsidR="009C5053" w:rsidRPr="009F174A" w:rsidRDefault="00A46DCD" w:rsidP="008378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15" w:name="_Hlk78296035"/>
      <w:r>
        <w:t>W wyniku Połączenia nastąpi podwyższenie kapitału zakładowego Spółki Przejmującej z kwoty 409.950,00 zł (słownie: czterysta dziewięć tysięcy dziewięćset pięćdziesiąt złotych 00/100) do kwoty 4.080.696,00 zł (słownie: cztery miliony osiemdziesiąt tysięcy sześćset dziewięćdziesiąt sześć złotych 00/100) tj. o 3.670.746,00 zł (słownie: trzy miliony sześćset siedemdziesiąt tysięcy siedemset czterdzieści sześć złotych 00/100) w drodze emisji 36.707.460 (słownie: trzydzieści sześć milionów siedemset siedem tysięcy czterysta sześćdziesiąt) sztuk akcji zwykłych na okaziciela serii F, o wartości nominalnej 0,10 zł (słownie: zero złotych 10/100) każda, o cenie emisyjnej 6,87 zł (słownie: sześć złotych 87/100) każda akcja, które zostaną wydane akcjonariuszom Spółki Przejmowanej w związku z Połączeniem</w:t>
      </w:r>
      <w:r w:rsidR="0000659F" w:rsidRPr="009F174A">
        <w:rPr>
          <w:rFonts w:cstheme="minorHAnsi"/>
        </w:rPr>
        <w:t>.</w:t>
      </w:r>
      <w:bookmarkEnd w:id="15"/>
    </w:p>
    <w:p w14:paraId="0232840D" w14:textId="77777777" w:rsidR="002048A1" w:rsidRPr="009F174A" w:rsidRDefault="002048A1" w:rsidP="001F146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383DC33F" w14:textId="269A788E" w:rsidR="00017E54" w:rsidRPr="009F174A" w:rsidRDefault="00017E54" w:rsidP="001F1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174A">
        <w:rPr>
          <w:rFonts w:cstheme="minorHAnsi"/>
        </w:rPr>
        <w:t>W związku z powyższym parytetem wymiany dopłaty gotówkowe</w:t>
      </w:r>
      <w:r w:rsidR="001C71E6">
        <w:rPr>
          <w:rFonts w:cstheme="minorHAnsi"/>
        </w:rPr>
        <w:t xml:space="preserve"> </w:t>
      </w:r>
      <w:r w:rsidR="001C71E6" w:rsidRPr="009F174A">
        <w:rPr>
          <w:rFonts w:cstheme="minorHAnsi"/>
        </w:rPr>
        <w:t>nie są przewidziane</w:t>
      </w:r>
      <w:r w:rsidRPr="009F174A">
        <w:rPr>
          <w:rFonts w:cstheme="minorHAnsi"/>
        </w:rPr>
        <w:t>.</w:t>
      </w:r>
    </w:p>
    <w:p w14:paraId="347816DD" w14:textId="77777777" w:rsidR="00017E54" w:rsidRPr="00B82A36" w:rsidRDefault="00017E54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bookmarkEnd w:id="10"/>
    <w:p w14:paraId="22924318" w14:textId="244AD074" w:rsidR="00895D64" w:rsidRPr="008244BE" w:rsidRDefault="00895D64" w:rsidP="00824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</w:rPr>
      </w:pPr>
      <w:r w:rsidRPr="008244BE">
        <w:rPr>
          <w:rFonts w:cstheme="minorHAnsi"/>
          <w:b/>
        </w:rPr>
        <w:t xml:space="preserve">Skutki prawne </w:t>
      </w:r>
      <w:r w:rsidR="001C71E6" w:rsidRPr="008244BE">
        <w:rPr>
          <w:rFonts w:cstheme="minorHAnsi"/>
          <w:b/>
        </w:rPr>
        <w:t>P</w:t>
      </w:r>
      <w:r w:rsidRPr="008244BE">
        <w:rPr>
          <w:rFonts w:cstheme="minorHAnsi"/>
          <w:b/>
        </w:rPr>
        <w:t>ołączenia</w:t>
      </w:r>
    </w:p>
    <w:p w14:paraId="05D912FA" w14:textId="73B9B664" w:rsidR="00895D64" w:rsidRPr="00B82A36" w:rsidRDefault="00895D64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072F8475" w14:textId="5209187E" w:rsidR="000772DE" w:rsidRPr="00B82A36" w:rsidRDefault="00895D64" w:rsidP="001F1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r w:rsidRPr="00B82A36">
        <w:rPr>
          <w:rFonts w:cstheme="minorHAnsi"/>
          <w:bCs/>
        </w:rPr>
        <w:t xml:space="preserve">Zgodnie z art. 493 § 2 </w:t>
      </w:r>
      <w:r w:rsidR="00DA18F1">
        <w:rPr>
          <w:rFonts w:cstheme="minorHAnsi"/>
          <w:bCs/>
        </w:rPr>
        <w:t>KSH</w:t>
      </w:r>
      <w:r w:rsidRPr="00B82A36">
        <w:rPr>
          <w:rFonts w:cstheme="minorHAnsi"/>
          <w:bCs/>
        </w:rPr>
        <w:t xml:space="preserve"> </w:t>
      </w:r>
      <w:r w:rsidR="001C71E6">
        <w:rPr>
          <w:rFonts w:cstheme="minorHAnsi"/>
          <w:bCs/>
        </w:rPr>
        <w:t>P</w:t>
      </w:r>
      <w:r w:rsidRPr="00B82A36">
        <w:rPr>
          <w:rFonts w:cstheme="minorHAnsi"/>
          <w:bCs/>
        </w:rPr>
        <w:t xml:space="preserve">ołączenie następuje z dniem wpisania </w:t>
      </w:r>
      <w:r w:rsidR="001C71E6">
        <w:rPr>
          <w:rFonts w:cstheme="minorHAnsi"/>
          <w:bCs/>
        </w:rPr>
        <w:t>P</w:t>
      </w:r>
      <w:r w:rsidRPr="00B82A36">
        <w:rPr>
          <w:rFonts w:cstheme="minorHAnsi"/>
          <w:bCs/>
        </w:rPr>
        <w:t xml:space="preserve">ołączenia do rejestru </w:t>
      </w:r>
      <w:r w:rsidR="008E42B4">
        <w:rPr>
          <w:rFonts w:cstheme="minorHAnsi"/>
          <w:bCs/>
        </w:rPr>
        <w:t xml:space="preserve">przedsiębiorców KRS, </w:t>
      </w:r>
      <w:r w:rsidRPr="00B82A36">
        <w:rPr>
          <w:rFonts w:cstheme="minorHAnsi"/>
          <w:bCs/>
        </w:rPr>
        <w:t xml:space="preserve">właściwego według siedziby Spółki Przejmującej. Wpis </w:t>
      </w:r>
      <w:r w:rsidR="00A43B57">
        <w:rPr>
          <w:rFonts w:cstheme="minorHAnsi"/>
          <w:bCs/>
        </w:rPr>
        <w:t>P</w:t>
      </w:r>
      <w:r w:rsidRPr="00B82A36">
        <w:rPr>
          <w:rFonts w:cstheme="minorHAnsi"/>
          <w:bCs/>
        </w:rPr>
        <w:t>ołączenia do rejestru</w:t>
      </w:r>
      <w:r w:rsidR="008E42B4">
        <w:rPr>
          <w:rFonts w:cstheme="minorHAnsi"/>
          <w:bCs/>
        </w:rPr>
        <w:t xml:space="preserve"> przedsiębiorców KRS,</w:t>
      </w:r>
      <w:r w:rsidRPr="00B82A36">
        <w:rPr>
          <w:rFonts w:cstheme="minorHAnsi"/>
          <w:bCs/>
        </w:rPr>
        <w:t xml:space="preserve"> właściwego według siedziby Spółki Przejmującej wywołuje skutek wykreślenia Spółki Przejmowanej.</w:t>
      </w:r>
      <w:r w:rsidR="00A43B57">
        <w:rPr>
          <w:rFonts w:cstheme="minorHAnsi"/>
          <w:bCs/>
        </w:rPr>
        <w:t xml:space="preserve"> </w:t>
      </w:r>
      <w:r w:rsidR="00A43B57" w:rsidRPr="00B82A36">
        <w:rPr>
          <w:rFonts w:cstheme="minorHAnsi"/>
          <w:bCs/>
        </w:rPr>
        <w:t xml:space="preserve">Stosownie do art. 493 § 1 </w:t>
      </w:r>
      <w:r w:rsidR="009723C1">
        <w:rPr>
          <w:rFonts w:cstheme="minorHAnsi"/>
          <w:bCs/>
        </w:rPr>
        <w:t>KSH</w:t>
      </w:r>
      <w:r w:rsidR="00A43B57" w:rsidRPr="00B82A36">
        <w:rPr>
          <w:rFonts w:cstheme="minorHAnsi"/>
          <w:bCs/>
        </w:rPr>
        <w:t xml:space="preserve"> Spółka Przejmowana zostaje rozwiązana, bez przeprowadzenia postępowania likwidacyjnego, w dniu wykreślenia z </w:t>
      </w:r>
      <w:r w:rsidR="004A12DA" w:rsidRPr="00B82A36">
        <w:rPr>
          <w:rFonts w:cstheme="minorHAnsi"/>
          <w:bCs/>
        </w:rPr>
        <w:t>rejestru</w:t>
      </w:r>
      <w:r w:rsidR="004A12DA">
        <w:rPr>
          <w:rFonts w:cstheme="minorHAnsi"/>
          <w:bCs/>
        </w:rPr>
        <w:t xml:space="preserve"> przedsiębiorców KRS</w:t>
      </w:r>
      <w:r w:rsidR="00A43B57" w:rsidRPr="00B82A36">
        <w:rPr>
          <w:rFonts w:cstheme="minorHAnsi"/>
          <w:bCs/>
        </w:rPr>
        <w:t>.</w:t>
      </w:r>
    </w:p>
    <w:p w14:paraId="28420FE2" w14:textId="77777777" w:rsidR="000772DE" w:rsidRPr="00B82A36" w:rsidRDefault="000772DE" w:rsidP="001F146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Cs/>
        </w:rPr>
      </w:pPr>
    </w:p>
    <w:p w14:paraId="17E11071" w14:textId="66079DFF" w:rsidR="00895D64" w:rsidRDefault="00895D64" w:rsidP="00736A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bookmarkStart w:id="16" w:name="_Hlk77941048"/>
      <w:r w:rsidRPr="00B82A36">
        <w:rPr>
          <w:rFonts w:cstheme="minorHAnsi"/>
          <w:bCs/>
        </w:rPr>
        <w:t>Z</w:t>
      </w:r>
      <w:r w:rsidR="00651AD0">
        <w:rPr>
          <w:rFonts w:cstheme="minorHAnsi"/>
          <w:bCs/>
        </w:rPr>
        <w:t xml:space="preserve">godnie z art. </w:t>
      </w:r>
      <w:r w:rsidR="00651AD0" w:rsidRPr="00B82A36">
        <w:rPr>
          <w:rFonts w:cstheme="minorHAnsi"/>
          <w:bCs/>
        </w:rPr>
        <w:t xml:space="preserve">494 § 4 </w:t>
      </w:r>
      <w:r w:rsidR="00651AD0">
        <w:rPr>
          <w:rFonts w:cstheme="minorHAnsi"/>
          <w:bCs/>
        </w:rPr>
        <w:t xml:space="preserve">KSH, </w:t>
      </w:r>
      <w:r w:rsidRPr="00B82A36">
        <w:rPr>
          <w:rFonts w:cstheme="minorHAnsi"/>
          <w:bCs/>
        </w:rPr>
        <w:t xml:space="preserve"> </w:t>
      </w:r>
      <w:r w:rsidR="00651AD0">
        <w:rPr>
          <w:rFonts w:cstheme="minorHAnsi"/>
          <w:bCs/>
        </w:rPr>
        <w:t>z Dniem Połączenia akcjonariusze</w:t>
      </w:r>
      <w:r w:rsidR="00651AD0" w:rsidRPr="00B82A36">
        <w:rPr>
          <w:rFonts w:cstheme="minorHAnsi"/>
          <w:bCs/>
        </w:rPr>
        <w:t xml:space="preserve"> Spółki Przejmowanej </w:t>
      </w:r>
      <w:r w:rsidRPr="00B82A36">
        <w:rPr>
          <w:rFonts w:cstheme="minorHAnsi"/>
          <w:bCs/>
        </w:rPr>
        <w:t>staną się akcjonariuszami Spółki Przejmującej</w:t>
      </w:r>
      <w:bookmarkEnd w:id="16"/>
      <w:r w:rsidR="00651AD0">
        <w:rPr>
          <w:rFonts w:cstheme="minorHAnsi"/>
          <w:bCs/>
        </w:rPr>
        <w:t>.</w:t>
      </w:r>
    </w:p>
    <w:p w14:paraId="70FA5774" w14:textId="77777777" w:rsidR="00736A75" w:rsidRPr="00736A75" w:rsidRDefault="00736A75" w:rsidP="00736A75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Cs/>
        </w:rPr>
      </w:pPr>
    </w:p>
    <w:p w14:paraId="5ECDCA91" w14:textId="39BC2019" w:rsidR="00895D64" w:rsidRPr="00B82A36" w:rsidRDefault="00895D64" w:rsidP="001F1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r w:rsidRPr="00B82A36">
        <w:rPr>
          <w:rFonts w:cstheme="minorHAnsi"/>
          <w:bCs/>
        </w:rPr>
        <w:t xml:space="preserve">Zgodnie z art. 494 § 1 </w:t>
      </w:r>
      <w:r w:rsidR="00DA18F1">
        <w:rPr>
          <w:rFonts w:cstheme="minorHAnsi"/>
          <w:bCs/>
        </w:rPr>
        <w:t>KSH</w:t>
      </w:r>
      <w:r w:rsidRPr="00B82A36">
        <w:rPr>
          <w:rFonts w:cstheme="minorHAnsi"/>
          <w:bCs/>
        </w:rPr>
        <w:t xml:space="preserve"> Spółka Przejmująca wstępuje z </w:t>
      </w:r>
      <w:r w:rsidR="00651AD0">
        <w:rPr>
          <w:rFonts w:cstheme="minorHAnsi"/>
          <w:bCs/>
        </w:rPr>
        <w:t>Dniem Połączenia</w:t>
      </w:r>
      <w:r w:rsidRPr="00B82A36">
        <w:rPr>
          <w:rFonts w:cstheme="minorHAnsi"/>
          <w:bCs/>
        </w:rPr>
        <w:t xml:space="preserve"> we wszystkie prawa i obowiązki Spółki Przejmowanej.</w:t>
      </w:r>
    </w:p>
    <w:p w14:paraId="19206835" w14:textId="77777777" w:rsidR="00895D64" w:rsidRPr="00B82A36" w:rsidRDefault="00895D64" w:rsidP="001F146A">
      <w:pPr>
        <w:pStyle w:val="Akapitzlist"/>
        <w:spacing w:line="276" w:lineRule="auto"/>
        <w:rPr>
          <w:rFonts w:cstheme="minorHAnsi"/>
          <w:bCs/>
        </w:rPr>
      </w:pPr>
    </w:p>
    <w:p w14:paraId="67ADFF1A" w14:textId="3F446A17" w:rsidR="00895D64" w:rsidRPr="00B82A36" w:rsidRDefault="00895D64" w:rsidP="001F1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r w:rsidRPr="00B82A36">
        <w:rPr>
          <w:rFonts w:cstheme="minorHAnsi"/>
          <w:bCs/>
        </w:rPr>
        <w:t xml:space="preserve">Zgodnie z art. 494 § 2 </w:t>
      </w:r>
      <w:r w:rsidR="00DA18F1">
        <w:rPr>
          <w:rFonts w:cstheme="minorHAnsi"/>
          <w:bCs/>
        </w:rPr>
        <w:t>KSH</w:t>
      </w:r>
      <w:r w:rsidRPr="00B82A36">
        <w:rPr>
          <w:rFonts w:cstheme="minorHAnsi"/>
          <w:bCs/>
        </w:rPr>
        <w:t xml:space="preserve"> na Spółkę Przejmującą przechodzą z dniem połączenia w szczególności zezwolenia, koncesje oraz ulgi, które zostały przyznane Spółce Przejmowanej, chyba że ustawa lub decyzja o udzieleniu zezwolenia, koncesji lub ulgi stanowi inaczej.</w:t>
      </w:r>
    </w:p>
    <w:p w14:paraId="7C36179C" w14:textId="77777777" w:rsidR="00895D64" w:rsidRPr="00B82A36" w:rsidRDefault="00895D64" w:rsidP="001F146A">
      <w:pPr>
        <w:pStyle w:val="Akapitzlist"/>
        <w:spacing w:line="276" w:lineRule="auto"/>
        <w:ind w:left="426" w:hanging="426"/>
        <w:rPr>
          <w:rFonts w:cstheme="minorHAnsi"/>
          <w:bCs/>
        </w:rPr>
      </w:pPr>
    </w:p>
    <w:p w14:paraId="5FD7FDF2" w14:textId="2E4498A7" w:rsidR="00895D64" w:rsidRPr="00B82A36" w:rsidRDefault="005428D8" w:rsidP="001F1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Zgodnie z </w:t>
      </w:r>
      <w:r w:rsidRPr="00B82A36">
        <w:rPr>
          <w:rFonts w:cstheme="minorHAnsi"/>
          <w:bCs/>
        </w:rPr>
        <w:t>art. 494 § 3</w:t>
      </w:r>
      <w:r>
        <w:rPr>
          <w:rFonts w:cstheme="minorHAnsi"/>
          <w:bCs/>
        </w:rPr>
        <w:t xml:space="preserve"> KSH, u</w:t>
      </w:r>
      <w:r w:rsidR="00895D64" w:rsidRPr="00B82A36">
        <w:rPr>
          <w:rFonts w:cstheme="minorHAnsi"/>
          <w:bCs/>
        </w:rPr>
        <w:t xml:space="preserve">jawnienie w księgach wieczystych lub rejestrach przejścia na Spółkę Przejmującą praw ujawnionych w tych księgach lub rejestrach </w:t>
      </w:r>
      <w:r w:rsidRPr="00B82A36">
        <w:rPr>
          <w:rFonts w:cstheme="minorHAnsi"/>
          <w:bCs/>
        </w:rPr>
        <w:t>nastąp</w:t>
      </w:r>
      <w:r>
        <w:rPr>
          <w:rFonts w:cstheme="minorHAnsi"/>
          <w:bCs/>
        </w:rPr>
        <w:t>i</w:t>
      </w:r>
      <w:r w:rsidR="00895D64" w:rsidRPr="00B82A36">
        <w:rPr>
          <w:rFonts w:cstheme="minorHAnsi"/>
          <w:bCs/>
        </w:rPr>
        <w:t xml:space="preserve"> na wniosek Spółki Przejmującej</w:t>
      </w:r>
      <w:r>
        <w:rPr>
          <w:rFonts w:cstheme="minorHAnsi"/>
          <w:bCs/>
        </w:rPr>
        <w:t>.</w:t>
      </w:r>
    </w:p>
    <w:p w14:paraId="5BB68469" w14:textId="77777777" w:rsidR="00895D64" w:rsidRPr="00B82A36" w:rsidRDefault="00895D64" w:rsidP="001F146A">
      <w:pPr>
        <w:pStyle w:val="Akapitzlist"/>
        <w:spacing w:line="276" w:lineRule="auto"/>
        <w:ind w:left="426" w:hanging="426"/>
        <w:rPr>
          <w:rFonts w:cstheme="minorHAnsi"/>
          <w:bCs/>
        </w:rPr>
      </w:pPr>
    </w:p>
    <w:p w14:paraId="015CAF1C" w14:textId="173F742A" w:rsidR="00895D64" w:rsidRPr="00B82A36" w:rsidRDefault="00895D64" w:rsidP="001F1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r w:rsidRPr="00B82A36">
        <w:rPr>
          <w:rFonts w:cstheme="minorHAnsi"/>
          <w:bCs/>
        </w:rPr>
        <w:t xml:space="preserve">Stosownie do treści art. 495 i 496 </w:t>
      </w:r>
      <w:r w:rsidR="00DA18F1">
        <w:rPr>
          <w:rFonts w:cstheme="minorHAnsi"/>
          <w:bCs/>
        </w:rPr>
        <w:t>KSH</w:t>
      </w:r>
      <w:r w:rsidRPr="00B82A36">
        <w:rPr>
          <w:rFonts w:cstheme="minorHAnsi"/>
          <w:bCs/>
        </w:rPr>
        <w:t xml:space="preserve">, majątek każdej z połączonych </w:t>
      </w:r>
      <w:r w:rsidR="005428D8">
        <w:rPr>
          <w:rFonts w:cstheme="minorHAnsi"/>
          <w:bCs/>
        </w:rPr>
        <w:t>s</w:t>
      </w:r>
      <w:r w:rsidRPr="00B82A36">
        <w:rPr>
          <w:rFonts w:cstheme="minorHAnsi"/>
          <w:bCs/>
        </w:rPr>
        <w:t xml:space="preserve">półek powinien być zarządzany przez Spółkę Przejmującą oddzielnie, aż do dnia zaspokojenia lub zabezpieczenia </w:t>
      </w:r>
      <w:r w:rsidRPr="00B82A36">
        <w:rPr>
          <w:rFonts w:cstheme="minorHAnsi"/>
          <w:bCs/>
        </w:rPr>
        <w:lastRenderedPageBreak/>
        <w:t xml:space="preserve">wierzycieli, których wierzytelności powstały przed dniem </w:t>
      </w:r>
      <w:r w:rsidR="005428D8">
        <w:rPr>
          <w:rFonts w:cstheme="minorHAnsi"/>
          <w:bCs/>
        </w:rPr>
        <w:t>P</w:t>
      </w:r>
      <w:r w:rsidRPr="00B82A36">
        <w:rPr>
          <w:rFonts w:cstheme="minorHAnsi"/>
          <w:bCs/>
        </w:rPr>
        <w:t xml:space="preserve">ołączenia, a którzy przed upływem </w:t>
      </w:r>
      <w:r w:rsidR="0088579D">
        <w:rPr>
          <w:rFonts w:cstheme="minorHAnsi"/>
          <w:bCs/>
        </w:rPr>
        <w:t xml:space="preserve">6 (słownie: </w:t>
      </w:r>
      <w:r w:rsidRPr="00B82A36">
        <w:rPr>
          <w:rFonts w:cstheme="minorHAnsi"/>
          <w:bCs/>
        </w:rPr>
        <w:t>sześciu</w:t>
      </w:r>
      <w:r w:rsidR="0088579D">
        <w:rPr>
          <w:rFonts w:cstheme="minorHAnsi"/>
          <w:bCs/>
        </w:rPr>
        <w:t>)</w:t>
      </w:r>
      <w:r w:rsidRPr="00B82A36">
        <w:rPr>
          <w:rFonts w:cstheme="minorHAnsi"/>
          <w:bCs/>
        </w:rPr>
        <w:t xml:space="preserve"> miesięcy od dnia ogłoszenia o </w:t>
      </w:r>
      <w:r w:rsidR="0088579D">
        <w:rPr>
          <w:rFonts w:cstheme="minorHAnsi"/>
          <w:bCs/>
        </w:rPr>
        <w:t>P</w:t>
      </w:r>
      <w:r w:rsidRPr="00B82A36">
        <w:rPr>
          <w:rFonts w:cstheme="minorHAnsi"/>
          <w:bCs/>
        </w:rPr>
        <w:t xml:space="preserve">ołączeniu zażądali na piśmie zapłaty. W okresie odrębnego zarządzania majątkami </w:t>
      </w:r>
      <w:r w:rsidR="0088579D">
        <w:rPr>
          <w:rFonts w:cstheme="minorHAnsi"/>
          <w:bCs/>
        </w:rPr>
        <w:t>s</w:t>
      </w:r>
      <w:r w:rsidRPr="00B82A36">
        <w:rPr>
          <w:rFonts w:cstheme="minorHAnsi"/>
          <w:bCs/>
        </w:rPr>
        <w:t xml:space="preserve">półek wierzycielom każdej </w:t>
      </w:r>
      <w:r w:rsidR="0088579D">
        <w:rPr>
          <w:rFonts w:cstheme="minorHAnsi"/>
          <w:bCs/>
        </w:rPr>
        <w:t>s</w:t>
      </w:r>
      <w:r w:rsidRPr="00B82A36">
        <w:rPr>
          <w:rFonts w:cstheme="minorHAnsi"/>
          <w:bCs/>
        </w:rPr>
        <w:t xml:space="preserve">półki służy pierwszeństwo zaspokojenia z majątku swojej pierwotnej dłużniczki przed wierzycielami </w:t>
      </w:r>
      <w:r w:rsidR="00D42FB7">
        <w:rPr>
          <w:rFonts w:cstheme="minorHAnsi"/>
          <w:bCs/>
        </w:rPr>
        <w:t>drugiej</w:t>
      </w:r>
      <w:r w:rsidRPr="00B82A36">
        <w:rPr>
          <w:rFonts w:cstheme="minorHAnsi"/>
          <w:bCs/>
        </w:rPr>
        <w:t xml:space="preserve"> łącząc</w:t>
      </w:r>
      <w:r w:rsidR="00D42FB7">
        <w:rPr>
          <w:rFonts w:cstheme="minorHAnsi"/>
          <w:bCs/>
        </w:rPr>
        <w:t>ej</w:t>
      </w:r>
      <w:r w:rsidRPr="00B82A36">
        <w:rPr>
          <w:rFonts w:cstheme="minorHAnsi"/>
          <w:bCs/>
        </w:rPr>
        <w:t xml:space="preserve"> się </w:t>
      </w:r>
      <w:r w:rsidR="0088579D">
        <w:rPr>
          <w:rFonts w:cstheme="minorHAnsi"/>
          <w:bCs/>
        </w:rPr>
        <w:t>s</w:t>
      </w:r>
      <w:r w:rsidRPr="00B82A36">
        <w:rPr>
          <w:rFonts w:cstheme="minorHAnsi"/>
          <w:bCs/>
        </w:rPr>
        <w:t>pół</w:t>
      </w:r>
      <w:r w:rsidR="00D42FB7">
        <w:rPr>
          <w:rFonts w:cstheme="minorHAnsi"/>
          <w:bCs/>
        </w:rPr>
        <w:t>ki</w:t>
      </w:r>
      <w:r w:rsidRPr="00B82A36">
        <w:rPr>
          <w:rFonts w:cstheme="minorHAnsi"/>
          <w:bCs/>
        </w:rPr>
        <w:t>.</w:t>
      </w:r>
    </w:p>
    <w:p w14:paraId="2BB9B552" w14:textId="77777777" w:rsidR="00895D64" w:rsidRPr="00B82A36" w:rsidRDefault="00895D64" w:rsidP="001F146A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</w:p>
    <w:p w14:paraId="3F524FDC" w14:textId="10C3CC1C" w:rsidR="00895D64" w:rsidRPr="00B82A36" w:rsidRDefault="00895D64" w:rsidP="001F14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Cs/>
        </w:rPr>
      </w:pPr>
      <w:bookmarkStart w:id="17" w:name="_Hlk77941119"/>
      <w:bookmarkStart w:id="18" w:name="_Hlk77941103"/>
      <w:r w:rsidRPr="00B82A36">
        <w:rPr>
          <w:rFonts w:cstheme="minorHAnsi"/>
          <w:bCs/>
        </w:rPr>
        <w:t>Stosownie do treści art. 23</w:t>
      </w:r>
      <w:r w:rsidR="000404A8" w:rsidRPr="000404A8">
        <w:rPr>
          <w:rFonts w:cstheme="minorHAnsi"/>
          <w:bCs/>
          <w:vertAlign w:val="superscript"/>
        </w:rPr>
        <w:t>1</w:t>
      </w:r>
      <w:r w:rsidR="00C87128">
        <w:rPr>
          <w:rFonts w:cstheme="minorHAnsi"/>
          <w:bCs/>
          <w:vertAlign w:val="superscript"/>
        </w:rPr>
        <w:t xml:space="preserve"> </w:t>
      </w:r>
      <w:r w:rsidRPr="00B82A36">
        <w:rPr>
          <w:rFonts w:cstheme="minorHAnsi"/>
          <w:bCs/>
        </w:rPr>
        <w:t xml:space="preserve">§ 1 Kodeksu pracy w związku z art. 494 § 1 </w:t>
      </w:r>
      <w:r w:rsidR="00D42FB7">
        <w:rPr>
          <w:rFonts w:cstheme="minorHAnsi"/>
          <w:bCs/>
        </w:rPr>
        <w:t>KSH</w:t>
      </w:r>
      <w:r w:rsidRPr="00B82A36">
        <w:rPr>
          <w:rFonts w:cstheme="minorHAnsi"/>
          <w:bCs/>
        </w:rPr>
        <w:t xml:space="preserve">, na skutek przejścia z </w:t>
      </w:r>
      <w:r w:rsidR="00D42FB7">
        <w:rPr>
          <w:rFonts w:cstheme="minorHAnsi"/>
          <w:bCs/>
        </w:rPr>
        <w:t>Dniem Połączenia</w:t>
      </w:r>
      <w:r w:rsidRPr="00B82A36">
        <w:rPr>
          <w:rFonts w:cstheme="minorHAnsi"/>
          <w:bCs/>
        </w:rPr>
        <w:t xml:space="preserve"> zakładu pracy Spółki Przejmowanej na Spółkę Przejmującą, Spółka Przejmująca stanie się z mocy prawa stroną w dotychczasowych stosunkach pracy Spółki Przejmowanej. Zgodnie z treścią art. 23</w:t>
      </w:r>
      <w:r w:rsidR="000404A8" w:rsidRPr="000404A8">
        <w:rPr>
          <w:rFonts w:cstheme="minorHAnsi"/>
          <w:bCs/>
          <w:vertAlign w:val="superscript"/>
        </w:rPr>
        <w:t>1</w:t>
      </w:r>
      <w:r w:rsidRPr="00B82A36">
        <w:rPr>
          <w:rFonts w:cstheme="minorHAnsi"/>
          <w:bCs/>
        </w:rPr>
        <w:t xml:space="preserve"> § 4 Kodeksu pracy, w terminie 2</w:t>
      </w:r>
      <w:r w:rsidR="006E012F">
        <w:rPr>
          <w:rFonts w:cstheme="minorHAnsi"/>
          <w:bCs/>
        </w:rPr>
        <w:t xml:space="preserve"> (słownie: dwóch)</w:t>
      </w:r>
      <w:r w:rsidRPr="00B82A36">
        <w:rPr>
          <w:rFonts w:cstheme="minorHAnsi"/>
          <w:bCs/>
        </w:rPr>
        <w:t xml:space="preserve"> miesięcy od </w:t>
      </w:r>
      <w:r w:rsidR="006E012F">
        <w:rPr>
          <w:rFonts w:cstheme="minorHAnsi"/>
          <w:bCs/>
        </w:rPr>
        <w:t>D</w:t>
      </w:r>
      <w:r w:rsidRPr="00B82A36">
        <w:rPr>
          <w:rFonts w:cstheme="minorHAnsi"/>
          <w:bCs/>
        </w:rPr>
        <w:t xml:space="preserve">nia </w:t>
      </w:r>
      <w:r w:rsidR="006E012F">
        <w:rPr>
          <w:rFonts w:cstheme="minorHAnsi"/>
          <w:bCs/>
        </w:rPr>
        <w:t>P</w:t>
      </w:r>
      <w:r w:rsidRPr="00B82A36">
        <w:rPr>
          <w:rFonts w:cstheme="minorHAnsi"/>
          <w:bCs/>
        </w:rPr>
        <w:t>ołączenia pracownik, będący dotychczas pracownikiem Spółki Przejmowanej może bez wypowiedzenia, za siedmiodniowym uprzedzeniem, rozwiązać stosunek pracy. Rozwiązanie stosunku pracy w tym trybie powoduje dla pracownika Spółki Przejmowanej skutki, jakie przepisy prawa pracy wiążą z rozwiązaniem stosunku pracy przez pracodawcę za wypowiedzeniem.</w:t>
      </w:r>
      <w:bookmarkEnd w:id="17"/>
    </w:p>
    <w:bookmarkEnd w:id="18"/>
    <w:p w14:paraId="34ABA681" w14:textId="77777777" w:rsidR="00895D64" w:rsidRPr="00B82A36" w:rsidRDefault="00895D64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5CF3C6D5" w14:textId="51CE60AC" w:rsidR="00BC446F" w:rsidRPr="008244BE" w:rsidRDefault="00BC446F" w:rsidP="00824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</w:rPr>
      </w:pPr>
      <w:r w:rsidRPr="008244BE">
        <w:rPr>
          <w:rFonts w:cstheme="minorHAnsi"/>
          <w:b/>
        </w:rPr>
        <w:t>Podsumowanie</w:t>
      </w:r>
    </w:p>
    <w:p w14:paraId="0F1FB10C" w14:textId="77777777" w:rsidR="00BC446F" w:rsidRPr="00B82A36" w:rsidRDefault="00BC446F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40BD26D" w14:textId="791268B1" w:rsidR="00B90F06" w:rsidRDefault="00122CD1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 xml:space="preserve">Zarząd Spółki </w:t>
      </w:r>
      <w:r w:rsidR="00495DE6">
        <w:rPr>
          <w:rFonts w:cstheme="minorHAnsi"/>
        </w:rPr>
        <w:t xml:space="preserve">Przejmującej </w:t>
      </w:r>
      <w:r w:rsidR="00BC446F" w:rsidRPr="00B82A36">
        <w:rPr>
          <w:rFonts w:cstheme="minorHAnsi"/>
        </w:rPr>
        <w:t xml:space="preserve">wskazuje, że </w:t>
      </w:r>
      <w:r w:rsidR="006F1B28" w:rsidRPr="00B82A36">
        <w:rPr>
          <w:rFonts w:cstheme="minorHAnsi"/>
        </w:rPr>
        <w:t xml:space="preserve">przedstawione </w:t>
      </w:r>
      <w:r w:rsidR="00FE2E67">
        <w:rPr>
          <w:rFonts w:cstheme="minorHAnsi"/>
        </w:rPr>
        <w:t xml:space="preserve">powyżej </w:t>
      </w:r>
      <w:r w:rsidR="00B90F06">
        <w:rPr>
          <w:rFonts w:cstheme="minorHAnsi"/>
        </w:rPr>
        <w:t>okoliczności</w:t>
      </w:r>
      <w:r w:rsidR="006F1B28" w:rsidRPr="00B82A36">
        <w:rPr>
          <w:rFonts w:cstheme="minorHAnsi"/>
        </w:rPr>
        <w:t xml:space="preserve"> dają podstawy, by twierdzić, że </w:t>
      </w:r>
      <w:r w:rsidR="00B90F06">
        <w:rPr>
          <w:rFonts w:cstheme="minorHAnsi"/>
        </w:rPr>
        <w:t>Połączenie</w:t>
      </w:r>
      <w:r w:rsidR="00187186">
        <w:rPr>
          <w:rFonts w:cstheme="minorHAnsi"/>
        </w:rPr>
        <w:t xml:space="preserve"> będzie miało</w:t>
      </w:r>
      <w:r w:rsidR="00B90F06">
        <w:rPr>
          <w:rFonts w:cstheme="minorHAnsi"/>
        </w:rPr>
        <w:t xml:space="preserve"> </w:t>
      </w:r>
      <w:r w:rsidR="00B90F06" w:rsidRPr="00B82A36">
        <w:rPr>
          <w:rFonts w:cstheme="minorHAnsi"/>
        </w:rPr>
        <w:t>pozytywny wpływ na efektywność procesów podejmowanych przez Spółkę</w:t>
      </w:r>
      <w:r w:rsidR="00B90F06">
        <w:rPr>
          <w:rFonts w:cstheme="minorHAnsi"/>
        </w:rPr>
        <w:t xml:space="preserve"> Przejmującą oraz wzmocni </w:t>
      </w:r>
      <w:r w:rsidR="00187186">
        <w:rPr>
          <w:rFonts w:cstheme="minorHAnsi"/>
        </w:rPr>
        <w:t>jej pozycję rynkową</w:t>
      </w:r>
      <w:r w:rsidR="00B90F06" w:rsidRPr="00B82A36">
        <w:rPr>
          <w:rFonts w:cstheme="minorHAnsi"/>
        </w:rPr>
        <w:t xml:space="preserve">, a </w:t>
      </w:r>
      <w:r w:rsidR="00187186">
        <w:rPr>
          <w:rFonts w:cstheme="minorHAnsi"/>
        </w:rPr>
        <w:t>w konsekwencji</w:t>
      </w:r>
      <w:r w:rsidR="00B90F06" w:rsidRPr="00B82A36">
        <w:rPr>
          <w:rFonts w:cstheme="minorHAnsi"/>
        </w:rPr>
        <w:t xml:space="preserve"> </w:t>
      </w:r>
      <w:r w:rsidR="00B90F06">
        <w:rPr>
          <w:rFonts w:cstheme="minorHAnsi"/>
        </w:rPr>
        <w:t>przełoży się to</w:t>
      </w:r>
      <w:r w:rsidR="00B90F06" w:rsidRPr="00B82A36">
        <w:rPr>
          <w:rFonts w:cstheme="minorHAnsi"/>
        </w:rPr>
        <w:t xml:space="preserve"> na poprawę wyników</w:t>
      </w:r>
      <w:r w:rsidR="00B90F06">
        <w:rPr>
          <w:rFonts w:cstheme="minorHAnsi"/>
        </w:rPr>
        <w:t xml:space="preserve"> osiąganych przez</w:t>
      </w:r>
      <w:r w:rsidR="00B90F06" w:rsidRPr="00B82A36">
        <w:rPr>
          <w:rFonts w:cstheme="minorHAnsi"/>
        </w:rPr>
        <w:t xml:space="preserve"> </w:t>
      </w:r>
      <w:r w:rsidR="00B90F06">
        <w:rPr>
          <w:rFonts w:cstheme="minorHAnsi"/>
        </w:rPr>
        <w:t>Spółkę Przejmującą</w:t>
      </w:r>
      <w:r w:rsidR="001C1019">
        <w:rPr>
          <w:rFonts w:cstheme="minorHAnsi"/>
        </w:rPr>
        <w:t>.</w:t>
      </w:r>
    </w:p>
    <w:p w14:paraId="6DD69D03" w14:textId="77777777" w:rsidR="006F1B28" w:rsidRPr="00B82A36" w:rsidRDefault="006F1B28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D5265D0" w14:textId="39F6FAE2" w:rsidR="006F1B28" w:rsidRDefault="002A4E61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82A36">
        <w:rPr>
          <w:rFonts w:cstheme="minorHAnsi"/>
        </w:rPr>
        <w:t>Wobec powyższego Zarząd Spółki</w:t>
      </w:r>
      <w:r w:rsidR="0023559E">
        <w:rPr>
          <w:rFonts w:cstheme="minorHAnsi"/>
        </w:rPr>
        <w:t xml:space="preserve"> Przejmującej</w:t>
      </w:r>
      <w:r w:rsidRPr="00B82A36">
        <w:rPr>
          <w:rFonts w:cstheme="minorHAnsi"/>
        </w:rPr>
        <w:t xml:space="preserve"> rekomenduje </w:t>
      </w:r>
      <w:r w:rsidR="00CF0D9E" w:rsidRPr="00B82A36">
        <w:rPr>
          <w:rFonts w:cstheme="minorHAnsi"/>
        </w:rPr>
        <w:t>akcjonariuszom</w:t>
      </w:r>
      <w:r w:rsidRPr="00B82A36">
        <w:rPr>
          <w:rFonts w:cstheme="minorHAnsi"/>
        </w:rPr>
        <w:t xml:space="preserve"> </w:t>
      </w:r>
      <w:r w:rsidR="0023559E" w:rsidRPr="00B82A36">
        <w:rPr>
          <w:rFonts w:cstheme="minorHAnsi"/>
        </w:rPr>
        <w:t>Spółki</w:t>
      </w:r>
      <w:r w:rsidR="0023559E">
        <w:rPr>
          <w:rFonts w:cstheme="minorHAnsi"/>
        </w:rPr>
        <w:t xml:space="preserve"> Przejmującej</w:t>
      </w:r>
      <w:r w:rsidRPr="00B82A36">
        <w:rPr>
          <w:rFonts w:cstheme="minorHAnsi"/>
        </w:rPr>
        <w:t xml:space="preserve"> podjęcie stosownych uchwał na Walnym Zgromadzeniu</w:t>
      </w:r>
      <w:r w:rsidR="00CF0D9E" w:rsidRPr="00B82A36">
        <w:rPr>
          <w:rFonts w:cstheme="minorHAnsi"/>
        </w:rPr>
        <w:t>,</w:t>
      </w:r>
      <w:r w:rsidRPr="00B82A36">
        <w:rPr>
          <w:rFonts w:cstheme="minorHAnsi"/>
        </w:rPr>
        <w:t xml:space="preserve"> umożliwiających realizację </w:t>
      </w:r>
      <w:r w:rsidR="0023559E">
        <w:rPr>
          <w:rFonts w:cstheme="minorHAnsi"/>
        </w:rPr>
        <w:t>P</w:t>
      </w:r>
      <w:r w:rsidR="00CF0D9E" w:rsidRPr="00B82A36">
        <w:rPr>
          <w:rFonts w:cstheme="minorHAnsi"/>
        </w:rPr>
        <w:t>ołączenia</w:t>
      </w:r>
      <w:r w:rsidRPr="00B82A36">
        <w:rPr>
          <w:rFonts w:cstheme="minorHAnsi"/>
        </w:rPr>
        <w:t>.</w:t>
      </w:r>
    </w:p>
    <w:p w14:paraId="01D35078" w14:textId="77777777" w:rsidR="000404A8" w:rsidRDefault="000404A8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D8561FC" w14:textId="77777777" w:rsidR="001C1019" w:rsidRDefault="001C1019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FF316F8" w14:textId="7CBDE068" w:rsidR="008244BE" w:rsidRDefault="001C1019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Kraków, dnia </w:t>
      </w:r>
      <w:r w:rsidR="008675D8">
        <w:rPr>
          <w:rFonts w:cstheme="minorHAnsi"/>
        </w:rPr>
        <w:t>24 marca 2022 r.</w:t>
      </w:r>
    </w:p>
    <w:p w14:paraId="13C9A621" w14:textId="77777777" w:rsidR="001C1019" w:rsidRDefault="001C1019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55CF7C8" w14:textId="77777777" w:rsidR="0023559E" w:rsidRDefault="0023559E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64140EF" w14:textId="77777777" w:rsidR="006919A6" w:rsidRDefault="006919A6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2AF21C4" w14:textId="63AF1F30" w:rsidR="000404A8" w:rsidRDefault="000404A8" w:rsidP="001F146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04C5D1D" w14:textId="13722FCB" w:rsidR="000404A8" w:rsidRDefault="000404A8" w:rsidP="000404A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bookmarkStart w:id="19" w:name="_Hlk77941181"/>
      <w:r>
        <w:rPr>
          <w:rFonts w:cstheme="minorHAnsi"/>
        </w:rPr>
        <w:t>_________________________________________</w:t>
      </w:r>
    </w:p>
    <w:p w14:paraId="779AFB14" w14:textId="77777777" w:rsidR="0023559E" w:rsidRPr="001C70AA" w:rsidRDefault="005A135F" w:rsidP="000404A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8675D8">
        <w:rPr>
          <w:rFonts w:cstheme="minorHAnsi"/>
        </w:rPr>
        <w:t>Łukasz Górski</w:t>
      </w:r>
    </w:p>
    <w:p w14:paraId="48D785B5" w14:textId="6F890BEA" w:rsidR="000404A8" w:rsidRPr="001C70AA" w:rsidRDefault="000404A8" w:rsidP="000404A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1C70AA">
        <w:rPr>
          <w:rFonts w:cstheme="minorHAnsi"/>
        </w:rPr>
        <w:t>Prezes Zarządu</w:t>
      </w:r>
      <w:bookmarkEnd w:id="19"/>
    </w:p>
    <w:sectPr w:rsidR="000404A8" w:rsidRPr="001C70AA" w:rsidSect="001C70A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0836" w14:textId="77777777" w:rsidR="00FB1757" w:rsidRDefault="00FB1757" w:rsidP="00FF370B">
      <w:pPr>
        <w:spacing w:after="0" w:line="240" w:lineRule="auto"/>
      </w:pPr>
      <w:r>
        <w:separator/>
      </w:r>
    </w:p>
  </w:endnote>
  <w:endnote w:type="continuationSeparator" w:id="0">
    <w:p w14:paraId="257644CB" w14:textId="77777777" w:rsidR="00FB1757" w:rsidRDefault="00FB1757" w:rsidP="00FF370B">
      <w:pPr>
        <w:spacing w:after="0" w:line="240" w:lineRule="auto"/>
      </w:pPr>
      <w:r>
        <w:continuationSeparator/>
      </w:r>
    </w:p>
  </w:endnote>
  <w:endnote w:type="continuationNotice" w:id="1">
    <w:p w14:paraId="56FE7CA7" w14:textId="77777777" w:rsidR="00FB1757" w:rsidRDefault="00FB1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82C6" w14:textId="77777777" w:rsidR="00FB1757" w:rsidRDefault="00FB1757" w:rsidP="00FF370B">
      <w:pPr>
        <w:spacing w:after="0" w:line="240" w:lineRule="auto"/>
      </w:pPr>
      <w:r>
        <w:separator/>
      </w:r>
    </w:p>
  </w:footnote>
  <w:footnote w:type="continuationSeparator" w:id="0">
    <w:p w14:paraId="19B75DEF" w14:textId="77777777" w:rsidR="00FB1757" w:rsidRDefault="00FB1757" w:rsidP="00FF370B">
      <w:pPr>
        <w:spacing w:after="0" w:line="240" w:lineRule="auto"/>
      </w:pPr>
      <w:r>
        <w:continuationSeparator/>
      </w:r>
    </w:p>
  </w:footnote>
  <w:footnote w:type="continuationNotice" w:id="1">
    <w:p w14:paraId="269A6A7C" w14:textId="77777777" w:rsidR="00FB1757" w:rsidRDefault="00FB17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C3"/>
    <w:multiLevelType w:val="hybridMultilevel"/>
    <w:tmpl w:val="54BE6A82"/>
    <w:lvl w:ilvl="0" w:tplc="2264D142">
      <w:start w:val="1"/>
      <w:numFmt w:val="decimal"/>
      <w:lvlText w:val="%1)"/>
      <w:lvlJc w:val="left"/>
      <w:pPr>
        <w:ind w:left="25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F41100"/>
    <w:multiLevelType w:val="hybridMultilevel"/>
    <w:tmpl w:val="AAE002C4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28B"/>
    <w:multiLevelType w:val="hybridMultilevel"/>
    <w:tmpl w:val="0638F326"/>
    <w:lvl w:ilvl="0" w:tplc="2264D1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4A9"/>
    <w:multiLevelType w:val="hybridMultilevel"/>
    <w:tmpl w:val="A1780E4A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00F23"/>
    <w:multiLevelType w:val="hybridMultilevel"/>
    <w:tmpl w:val="1D92F12C"/>
    <w:lvl w:ilvl="0" w:tplc="73C2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AAB"/>
    <w:multiLevelType w:val="hybridMultilevel"/>
    <w:tmpl w:val="185E21BE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490"/>
    <w:multiLevelType w:val="hybridMultilevel"/>
    <w:tmpl w:val="F7B20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50BE1"/>
    <w:multiLevelType w:val="hybridMultilevel"/>
    <w:tmpl w:val="D6A61A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719E403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A32A96"/>
    <w:multiLevelType w:val="hybridMultilevel"/>
    <w:tmpl w:val="B77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A44C8"/>
    <w:multiLevelType w:val="hybridMultilevel"/>
    <w:tmpl w:val="FD703702"/>
    <w:lvl w:ilvl="0" w:tplc="C50AA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1417"/>
    <w:multiLevelType w:val="hybridMultilevel"/>
    <w:tmpl w:val="D8C0FA6C"/>
    <w:lvl w:ilvl="0" w:tplc="2264D1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33F"/>
    <w:multiLevelType w:val="hybridMultilevel"/>
    <w:tmpl w:val="93966B3E"/>
    <w:lvl w:ilvl="0" w:tplc="2264D1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4C35"/>
    <w:multiLevelType w:val="hybridMultilevel"/>
    <w:tmpl w:val="A6B06294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3E89"/>
    <w:multiLevelType w:val="hybridMultilevel"/>
    <w:tmpl w:val="2E76E99E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0793"/>
    <w:multiLevelType w:val="hybridMultilevel"/>
    <w:tmpl w:val="3A3CA37A"/>
    <w:lvl w:ilvl="0" w:tplc="2264D142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7732A"/>
    <w:multiLevelType w:val="hybridMultilevel"/>
    <w:tmpl w:val="C020478C"/>
    <w:lvl w:ilvl="0" w:tplc="7430B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25B9"/>
    <w:multiLevelType w:val="hybridMultilevel"/>
    <w:tmpl w:val="B5C84AAE"/>
    <w:lvl w:ilvl="0" w:tplc="73C2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00893"/>
    <w:multiLevelType w:val="hybridMultilevel"/>
    <w:tmpl w:val="46EAE2BA"/>
    <w:lvl w:ilvl="0" w:tplc="C50AA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0FAB"/>
    <w:multiLevelType w:val="hybridMultilevel"/>
    <w:tmpl w:val="ABD6C0AA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4553"/>
    <w:multiLevelType w:val="hybridMultilevel"/>
    <w:tmpl w:val="970C4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E24D1"/>
    <w:multiLevelType w:val="hybridMultilevel"/>
    <w:tmpl w:val="BBC04920"/>
    <w:lvl w:ilvl="0" w:tplc="56927F86">
      <w:start w:val="1"/>
      <w:numFmt w:val="upperRoman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032CF"/>
    <w:multiLevelType w:val="hybridMultilevel"/>
    <w:tmpl w:val="82567F08"/>
    <w:lvl w:ilvl="0" w:tplc="2264D142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C743C"/>
    <w:multiLevelType w:val="hybridMultilevel"/>
    <w:tmpl w:val="D054C298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A785E"/>
    <w:multiLevelType w:val="hybridMultilevel"/>
    <w:tmpl w:val="270C6358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6867F0"/>
    <w:multiLevelType w:val="hybridMultilevel"/>
    <w:tmpl w:val="584C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8"/>
  </w:num>
  <w:num w:numId="5">
    <w:abstractNumId w:val="19"/>
  </w:num>
  <w:num w:numId="6">
    <w:abstractNumId w:val="13"/>
  </w:num>
  <w:num w:numId="7">
    <w:abstractNumId w:val="24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2"/>
  </w:num>
  <w:num w:numId="15">
    <w:abstractNumId w:val="22"/>
  </w:num>
  <w:num w:numId="16">
    <w:abstractNumId w:val="21"/>
  </w:num>
  <w:num w:numId="17">
    <w:abstractNumId w:val="17"/>
  </w:num>
  <w:num w:numId="18">
    <w:abstractNumId w:val="9"/>
  </w:num>
  <w:num w:numId="19">
    <w:abstractNumId w:val="3"/>
  </w:num>
  <w:num w:numId="20">
    <w:abstractNumId w:val="23"/>
  </w:num>
  <w:num w:numId="21">
    <w:abstractNumId w:val="8"/>
  </w:num>
  <w:num w:numId="22">
    <w:abstractNumId w:val="15"/>
  </w:num>
  <w:num w:numId="23">
    <w:abstractNumId w:val="20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1E"/>
    <w:rsid w:val="00002FE8"/>
    <w:rsid w:val="0000659F"/>
    <w:rsid w:val="00006823"/>
    <w:rsid w:val="00013348"/>
    <w:rsid w:val="000172A9"/>
    <w:rsid w:val="00017ABD"/>
    <w:rsid w:val="00017E54"/>
    <w:rsid w:val="00020CB3"/>
    <w:rsid w:val="00022290"/>
    <w:rsid w:val="00034890"/>
    <w:rsid w:val="00034BBB"/>
    <w:rsid w:val="000374C2"/>
    <w:rsid w:val="000404A8"/>
    <w:rsid w:val="00044104"/>
    <w:rsid w:val="00065493"/>
    <w:rsid w:val="00071A52"/>
    <w:rsid w:val="00072501"/>
    <w:rsid w:val="000772DE"/>
    <w:rsid w:val="00085C99"/>
    <w:rsid w:val="000871C1"/>
    <w:rsid w:val="0009396B"/>
    <w:rsid w:val="000956BD"/>
    <w:rsid w:val="000A3554"/>
    <w:rsid w:val="000A5D97"/>
    <w:rsid w:val="000C46C5"/>
    <w:rsid w:val="000D049A"/>
    <w:rsid w:val="000D56E4"/>
    <w:rsid w:val="000E3748"/>
    <w:rsid w:val="000E4424"/>
    <w:rsid w:val="000E4874"/>
    <w:rsid w:val="000F2548"/>
    <w:rsid w:val="00102A89"/>
    <w:rsid w:val="0010730D"/>
    <w:rsid w:val="0010740A"/>
    <w:rsid w:val="0011323F"/>
    <w:rsid w:val="001217AE"/>
    <w:rsid w:val="00122CD1"/>
    <w:rsid w:val="00124504"/>
    <w:rsid w:val="00127C70"/>
    <w:rsid w:val="001361BF"/>
    <w:rsid w:val="0014333E"/>
    <w:rsid w:val="00150464"/>
    <w:rsid w:val="00151EA3"/>
    <w:rsid w:val="00155428"/>
    <w:rsid w:val="0015628E"/>
    <w:rsid w:val="00162189"/>
    <w:rsid w:val="00166C52"/>
    <w:rsid w:val="00176B14"/>
    <w:rsid w:val="00187186"/>
    <w:rsid w:val="00192446"/>
    <w:rsid w:val="001A0FDA"/>
    <w:rsid w:val="001A1CA2"/>
    <w:rsid w:val="001A6052"/>
    <w:rsid w:val="001B0315"/>
    <w:rsid w:val="001B4C06"/>
    <w:rsid w:val="001B6BC4"/>
    <w:rsid w:val="001C044A"/>
    <w:rsid w:val="001C1019"/>
    <w:rsid w:val="001C70AA"/>
    <w:rsid w:val="001C71E6"/>
    <w:rsid w:val="001D1CD4"/>
    <w:rsid w:val="001D21F4"/>
    <w:rsid w:val="001D37AB"/>
    <w:rsid w:val="001D4736"/>
    <w:rsid w:val="001D791D"/>
    <w:rsid w:val="001E2A24"/>
    <w:rsid w:val="001F146A"/>
    <w:rsid w:val="001F1A1E"/>
    <w:rsid w:val="001F3CD4"/>
    <w:rsid w:val="002021D9"/>
    <w:rsid w:val="0020481F"/>
    <w:rsid w:val="002048A1"/>
    <w:rsid w:val="00204C4B"/>
    <w:rsid w:val="0020620B"/>
    <w:rsid w:val="00211276"/>
    <w:rsid w:val="002115DB"/>
    <w:rsid w:val="00211DB2"/>
    <w:rsid w:val="002132E3"/>
    <w:rsid w:val="00232736"/>
    <w:rsid w:val="002339C5"/>
    <w:rsid w:val="0023559E"/>
    <w:rsid w:val="00236D79"/>
    <w:rsid w:val="00240C2E"/>
    <w:rsid w:val="00241E99"/>
    <w:rsid w:val="002620FE"/>
    <w:rsid w:val="00264552"/>
    <w:rsid w:val="00272638"/>
    <w:rsid w:val="00274759"/>
    <w:rsid w:val="00274E6B"/>
    <w:rsid w:val="002753A7"/>
    <w:rsid w:val="00280010"/>
    <w:rsid w:val="002822A0"/>
    <w:rsid w:val="00283A9B"/>
    <w:rsid w:val="00285A9A"/>
    <w:rsid w:val="00285DF2"/>
    <w:rsid w:val="00292370"/>
    <w:rsid w:val="00296622"/>
    <w:rsid w:val="002A0F86"/>
    <w:rsid w:val="002A2B7A"/>
    <w:rsid w:val="002A4E61"/>
    <w:rsid w:val="002A6C95"/>
    <w:rsid w:val="002B05F1"/>
    <w:rsid w:val="002B0B7A"/>
    <w:rsid w:val="002B4BC2"/>
    <w:rsid w:val="002B53F2"/>
    <w:rsid w:val="002C6EDC"/>
    <w:rsid w:val="002D2A77"/>
    <w:rsid w:val="002D3F50"/>
    <w:rsid w:val="002D754F"/>
    <w:rsid w:val="002E6E30"/>
    <w:rsid w:val="002F606B"/>
    <w:rsid w:val="00303770"/>
    <w:rsid w:val="00312003"/>
    <w:rsid w:val="0032530F"/>
    <w:rsid w:val="00327CCE"/>
    <w:rsid w:val="00327FBA"/>
    <w:rsid w:val="00336CA1"/>
    <w:rsid w:val="00346799"/>
    <w:rsid w:val="00350BD8"/>
    <w:rsid w:val="00357C95"/>
    <w:rsid w:val="00363EF2"/>
    <w:rsid w:val="0036482E"/>
    <w:rsid w:val="003677CA"/>
    <w:rsid w:val="003749E5"/>
    <w:rsid w:val="0037635A"/>
    <w:rsid w:val="00393FAA"/>
    <w:rsid w:val="003B1C34"/>
    <w:rsid w:val="003B5C46"/>
    <w:rsid w:val="003D65E8"/>
    <w:rsid w:val="003E346D"/>
    <w:rsid w:val="003E3514"/>
    <w:rsid w:val="003F0A7C"/>
    <w:rsid w:val="003F0BD6"/>
    <w:rsid w:val="003F1E01"/>
    <w:rsid w:val="003F759B"/>
    <w:rsid w:val="00402166"/>
    <w:rsid w:val="0040633B"/>
    <w:rsid w:val="00416B4B"/>
    <w:rsid w:val="00420250"/>
    <w:rsid w:val="00423E5C"/>
    <w:rsid w:val="00432267"/>
    <w:rsid w:val="00444893"/>
    <w:rsid w:val="00444C0E"/>
    <w:rsid w:val="00444D71"/>
    <w:rsid w:val="00446E9D"/>
    <w:rsid w:val="00450DAC"/>
    <w:rsid w:val="00453946"/>
    <w:rsid w:val="0046497A"/>
    <w:rsid w:val="00475965"/>
    <w:rsid w:val="00477D92"/>
    <w:rsid w:val="00480221"/>
    <w:rsid w:val="00482C91"/>
    <w:rsid w:val="00483971"/>
    <w:rsid w:val="00495DE6"/>
    <w:rsid w:val="004A12DA"/>
    <w:rsid w:val="004A52D6"/>
    <w:rsid w:val="004B0179"/>
    <w:rsid w:val="004B50F1"/>
    <w:rsid w:val="004D209B"/>
    <w:rsid w:val="004D4C9A"/>
    <w:rsid w:val="004D732E"/>
    <w:rsid w:val="004E022C"/>
    <w:rsid w:val="004E30B4"/>
    <w:rsid w:val="004E412D"/>
    <w:rsid w:val="004F2E91"/>
    <w:rsid w:val="004F711E"/>
    <w:rsid w:val="00501A8D"/>
    <w:rsid w:val="00524C5C"/>
    <w:rsid w:val="005428D8"/>
    <w:rsid w:val="005639DA"/>
    <w:rsid w:val="00566DA9"/>
    <w:rsid w:val="00576203"/>
    <w:rsid w:val="005879AE"/>
    <w:rsid w:val="00592503"/>
    <w:rsid w:val="00592D44"/>
    <w:rsid w:val="005954DE"/>
    <w:rsid w:val="005A020C"/>
    <w:rsid w:val="005A135F"/>
    <w:rsid w:val="005A7E55"/>
    <w:rsid w:val="005B2E16"/>
    <w:rsid w:val="005B3AAD"/>
    <w:rsid w:val="005B5583"/>
    <w:rsid w:val="005C0ABB"/>
    <w:rsid w:val="005C0FF5"/>
    <w:rsid w:val="005C4AA0"/>
    <w:rsid w:val="005D6684"/>
    <w:rsid w:val="005D6845"/>
    <w:rsid w:val="005E0DC2"/>
    <w:rsid w:val="005F729D"/>
    <w:rsid w:val="00601AE9"/>
    <w:rsid w:val="0060699B"/>
    <w:rsid w:val="00613D6B"/>
    <w:rsid w:val="00617589"/>
    <w:rsid w:val="00621070"/>
    <w:rsid w:val="0062229B"/>
    <w:rsid w:val="00623F77"/>
    <w:rsid w:val="0063076D"/>
    <w:rsid w:val="006356E5"/>
    <w:rsid w:val="006427F7"/>
    <w:rsid w:val="00651AD0"/>
    <w:rsid w:val="00654399"/>
    <w:rsid w:val="0066144D"/>
    <w:rsid w:val="00673EE7"/>
    <w:rsid w:val="0067672E"/>
    <w:rsid w:val="006919A6"/>
    <w:rsid w:val="006A032B"/>
    <w:rsid w:val="006B5A2D"/>
    <w:rsid w:val="006C7F9B"/>
    <w:rsid w:val="006D0E9B"/>
    <w:rsid w:val="006D5F48"/>
    <w:rsid w:val="006E012F"/>
    <w:rsid w:val="006E4D2B"/>
    <w:rsid w:val="006E6EBC"/>
    <w:rsid w:val="006E77A5"/>
    <w:rsid w:val="006E7CBB"/>
    <w:rsid w:val="006F12BB"/>
    <w:rsid w:val="006F144F"/>
    <w:rsid w:val="006F1B28"/>
    <w:rsid w:val="006F755E"/>
    <w:rsid w:val="007016CC"/>
    <w:rsid w:val="00706164"/>
    <w:rsid w:val="007256D0"/>
    <w:rsid w:val="007259BD"/>
    <w:rsid w:val="00727EB4"/>
    <w:rsid w:val="007346C8"/>
    <w:rsid w:val="00736A75"/>
    <w:rsid w:val="0074065B"/>
    <w:rsid w:val="0076191E"/>
    <w:rsid w:val="00766D48"/>
    <w:rsid w:val="007707EB"/>
    <w:rsid w:val="007878AC"/>
    <w:rsid w:val="007908F8"/>
    <w:rsid w:val="00790963"/>
    <w:rsid w:val="00797B6C"/>
    <w:rsid w:val="007A5B16"/>
    <w:rsid w:val="007A7F3E"/>
    <w:rsid w:val="007B0083"/>
    <w:rsid w:val="007B4EB6"/>
    <w:rsid w:val="007C25E8"/>
    <w:rsid w:val="007C3828"/>
    <w:rsid w:val="007C3C76"/>
    <w:rsid w:val="007D486E"/>
    <w:rsid w:val="007E3DBD"/>
    <w:rsid w:val="007E644A"/>
    <w:rsid w:val="007F5B04"/>
    <w:rsid w:val="008007AF"/>
    <w:rsid w:val="008244BE"/>
    <w:rsid w:val="00836EB1"/>
    <w:rsid w:val="008409A5"/>
    <w:rsid w:val="0084142E"/>
    <w:rsid w:val="008423C2"/>
    <w:rsid w:val="008449A8"/>
    <w:rsid w:val="00845F5E"/>
    <w:rsid w:val="00852F45"/>
    <w:rsid w:val="008675D8"/>
    <w:rsid w:val="00882ED9"/>
    <w:rsid w:val="0088579D"/>
    <w:rsid w:val="00885AC0"/>
    <w:rsid w:val="00885D6A"/>
    <w:rsid w:val="0089073D"/>
    <w:rsid w:val="008907F8"/>
    <w:rsid w:val="00895D64"/>
    <w:rsid w:val="008A03C5"/>
    <w:rsid w:val="008A06E2"/>
    <w:rsid w:val="008A095E"/>
    <w:rsid w:val="008B3918"/>
    <w:rsid w:val="008B4C57"/>
    <w:rsid w:val="008C46E0"/>
    <w:rsid w:val="008C785D"/>
    <w:rsid w:val="008E0527"/>
    <w:rsid w:val="008E42B4"/>
    <w:rsid w:val="008F0AD4"/>
    <w:rsid w:val="008F2FD6"/>
    <w:rsid w:val="00903290"/>
    <w:rsid w:val="00903B3A"/>
    <w:rsid w:val="0090638C"/>
    <w:rsid w:val="009063D8"/>
    <w:rsid w:val="0090659A"/>
    <w:rsid w:val="00907346"/>
    <w:rsid w:val="00910684"/>
    <w:rsid w:val="00914D46"/>
    <w:rsid w:val="0091505D"/>
    <w:rsid w:val="00927C66"/>
    <w:rsid w:val="0094545D"/>
    <w:rsid w:val="00945C9E"/>
    <w:rsid w:val="009478A4"/>
    <w:rsid w:val="00950A07"/>
    <w:rsid w:val="0095203B"/>
    <w:rsid w:val="009553CD"/>
    <w:rsid w:val="00962D22"/>
    <w:rsid w:val="00963A4B"/>
    <w:rsid w:val="00963BA8"/>
    <w:rsid w:val="009723C1"/>
    <w:rsid w:val="00977C2F"/>
    <w:rsid w:val="0098077F"/>
    <w:rsid w:val="009809E3"/>
    <w:rsid w:val="00993A3D"/>
    <w:rsid w:val="009A1D54"/>
    <w:rsid w:val="009A6FB0"/>
    <w:rsid w:val="009B1BA7"/>
    <w:rsid w:val="009C5053"/>
    <w:rsid w:val="009D204C"/>
    <w:rsid w:val="009D3558"/>
    <w:rsid w:val="009D3BFA"/>
    <w:rsid w:val="009E42B9"/>
    <w:rsid w:val="009F174A"/>
    <w:rsid w:val="00A04CF9"/>
    <w:rsid w:val="00A04DAB"/>
    <w:rsid w:val="00A22D2D"/>
    <w:rsid w:val="00A276C7"/>
    <w:rsid w:val="00A411BF"/>
    <w:rsid w:val="00A43085"/>
    <w:rsid w:val="00A43B57"/>
    <w:rsid w:val="00A46A66"/>
    <w:rsid w:val="00A46DCD"/>
    <w:rsid w:val="00A51829"/>
    <w:rsid w:val="00A531E1"/>
    <w:rsid w:val="00A5360E"/>
    <w:rsid w:val="00A54A82"/>
    <w:rsid w:val="00A62442"/>
    <w:rsid w:val="00A6779F"/>
    <w:rsid w:val="00A7152E"/>
    <w:rsid w:val="00A82D47"/>
    <w:rsid w:val="00A83D73"/>
    <w:rsid w:val="00A83FDB"/>
    <w:rsid w:val="00A90088"/>
    <w:rsid w:val="00AB0A73"/>
    <w:rsid w:val="00AB2CF6"/>
    <w:rsid w:val="00AC6CC5"/>
    <w:rsid w:val="00AE52BE"/>
    <w:rsid w:val="00AF48B4"/>
    <w:rsid w:val="00B0011E"/>
    <w:rsid w:val="00B028BC"/>
    <w:rsid w:val="00B02FAA"/>
    <w:rsid w:val="00B036AF"/>
    <w:rsid w:val="00B0419B"/>
    <w:rsid w:val="00B04F08"/>
    <w:rsid w:val="00B1211E"/>
    <w:rsid w:val="00B12D97"/>
    <w:rsid w:val="00B16737"/>
    <w:rsid w:val="00B21927"/>
    <w:rsid w:val="00B24F41"/>
    <w:rsid w:val="00B3139A"/>
    <w:rsid w:val="00B33E61"/>
    <w:rsid w:val="00B36A15"/>
    <w:rsid w:val="00B65983"/>
    <w:rsid w:val="00B65C2D"/>
    <w:rsid w:val="00B725DB"/>
    <w:rsid w:val="00B813B6"/>
    <w:rsid w:val="00B82A36"/>
    <w:rsid w:val="00B82E3A"/>
    <w:rsid w:val="00B87742"/>
    <w:rsid w:val="00B90F06"/>
    <w:rsid w:val="00B93983"/>
    <w:rsid w:val="00B942F7"/>
    <w:rsid w:val="00B97CAB"/>
    <w:rsid w:val="00BA01E1"/>
    <w:rsid w:val="00BA3521"/>
    <w:rsid w:val="00BB20FE"/>
    <w:rsid w:val="00BB6971"/>
    <w:rsid w:val="00BC1BC0"/>
    <w:rsid w:val="00BC446F"/>
    <w:rsid w:val="00BD0FE2"/>
    <w:rsid w:val="00BE04C9"/>
    <w:rsid w:val="00BE09FE"/>
    <w:rsid w:val="00BE0D67"/>
    <w:rsid w:val="00BE0DE1"/>
    <w:rsid w:val="00BE1658"/>
    <w:rsid w:val="00BE625D"/>
    <w:rsid w:val="00C016FD"/>
    <w:rsid w:val="00C05BE9"/>
    <w:rsid w:val="00C05CA3"/>
    <w:rsid w:val="00C07412"/>
    <w:rsid w:val="00C10B06"/>
    <w:rsid w:val="00C17968"/>
    <w:rsid w:val="00C17EC4"/>
    <w:rsid w:val="00C34EA0"/>
    <w:rsid w:val="00C414DC"/>
    <w:rsid w:val="00C56393"/>
    <w:rsid w:val="00C7239C"/>
    <w:rsid w:val="00C80990"/>
    <w:rsid w:val="00C87128"/>
    <w:rsid w:val="00C87E9C"/>
    <w:rsid w:val="00C934FD"/>
    <w:rsid w:val="00CA6E2D"/>
    <w:rsid w:val="00CB2468"/>
    <w:rsid w:val="00CB556B"/>
    <w:rsid w:val="00CB68D3"/>
    <w:rsid w:val="00CC1470"/>
    <w:rsid w:val="00CC2260"/>
    <w:rsid w:val="00CC485C"/>
    <w:rsid w:val="00CD6147"/>
    <w:rsid w:val="00CE1E4D"/>
    <w:rsid w:val="00CF0138"/>
    <w:rsid w:val="00CF0D9E"/>
    <w:rsid w:val="00CF10C0"/>
    <w:rsid w:val="00CF1D97"/>
    <w:rsid w:val="00CF3F7F"/>
    <w:rsid w:val="00D00399"/>
    <w:rsid w:val="00D020A0"/>
    <w:rsid w:val="00D13905"/>
    <w:rsid w:val="00D15034"/>
    <w:rsid w:val="00D16D89"/>
    <w:rsid w:val="00D22B5B"/>
    <w:rsid w:val="00D232AF"/>
    <w:rsid w:val="00D254A8"/>
    <w:rsid w:val="00D2622B"/>
    <w:rsid w:val="00D31225"/>
    <w:rsid w:val="00D34C30"/>
    <w:rsid w:val="00D42FB7"/>
    <w:rsid w:val="00D51F67"/>
    <w:rsid w:val="00D604CF"/>
    <w:rsid w:val="00D736A2"/>
    <w:rsid w:val="00D74845"/>
    <w:rsid w:val="00D75B6F"/>
    <w:rsid w:val="00D803EC"/>
    <w:rsid w:val="00D900D4"/>
    <w:rsid w:val="00DA18F1"/>
    <w:rsid w:val="00DB2095"/>
    <w:rsid w:val="00DC79E2"/>
    <w:rsid w:val="00DD36C9"/>
    <w:rsid w:val="00DD495C"/>
    <w:rsid w:val="00DE385B"/>
    <w:rsid w:val="00DE3C9F"/>
    <w:rsid w:val="00DF0752"/>
    <w:rsid w:val="00DF1472"/>
    <w:rsid w:val="00E03A1B"/>
    <w:rsid w:val="00E03E52"/>
    <w:rsid w:val="00E10124"/>
    <w:rsid w:val="00E15E89"/>
    <w:rsid w:val="00E17750"/>
    <w:rsid w:val="00E200C7"/>
    <w:rsid w:val="00E315B9"/>
    <w:rsid w:val="00E351EB"/>
    <w:rsid w:val="00E37AAB"/>
    <w:rsid w:val="00E43169"/>
    <w:rsid w:val="00E4500F"/>
    <w:rsid w:val="00E50A8E"/>
    <w:rsid w:val="00E54E17"/>
    <w:rsid w:val="00E74E32"/>
    <w:rsid w:val="00E83B6A"/>
    <w:rsid w:val="00E97D1F"/>
    <w:rsid w:val="00EB38DB"/>
    <w:rsid w:val="00EC02E4"/>
    <w:rsid w:val="00EC5B9B"/>
    <w:rsid w:val="00ED3A01"/>
    <w:rsid w:val="00ED5C08"/>
    <w:rsid w:val="00ED67D8"/>
    <w:rsid w:val="00EF78A8"/>
    <w:rsid w:val="00EF7CFF"/>
    <w:rsid w:val="00F00535"/>
    <w:rsid w:val="00F051A5"/>
    <w:rsid w:val="00F054E8"/>
    <w:rsid w:val="00F2098A"/>
    <w:rsid w:val="00F313B5"/>
    <w:rsid w:val="00F422AA"/>
    <w:rsid w:val="00F56A38"/>
    <w:rsid w:val="00F64199"/>
    <w:rsid w:val="00F66E96"/>
    <w:rsid w:val="00F67E7A"/>
    <w:rsid w:val="00F846C1"/>
    <w:rsid w:val="00F9061B"/>
    <w:rsid w:val="00F922EA"/>
    <w:rsid w:val="00F967E4"/>
    <w:rsid w:val="00FA6868"/>
    <w:rsid w:val="00FB1757"/>
    <w:rsid w:val="00FB2D9C"/>
    <w:rsid w:val="00FB70F9"/>
    <w:rsid w:val="00FC57D0"/>
    <w:rsid w:val="00FC607D"/>
    <w:rsid w:val="00FC6AAF"/>
    <w:rsid w:val="00FC7425"/>
    <w:rsid w:val="00FC7C67"/>
    <w:rsid w:val="00FE2E67"/>
    <w:rsid w:val="00FF370B"/>
    <w:rsid w:val="00FF3C5E"/>
    <w:rsid w:val="00FF62F3"/>
    <w:rsid w:val="04EAA687"/>
    <w:rsid w:val="05A88F5A"/>
    <w:rsid w:val="070F85F1"/>
    <w:rsid w:val="0A86768E"/>
    <w:rsid w:val="0C46EA40"/>
    <w:rsid w:val="0DE9C093"/>
    <w:rsid w:val="14F937EB"/>
    <w:rsid w:val="1599CE49"/>
    <w:rsid w:val="16F2FE55"/>
    <w:rsid w:val="1B4046E2"/>
    <w:rsid w:val="2002400C"/>
    <w:rsid w:val="25CC2282"/>
    <w:rsid w:val="2B95205B"/>
    <w:rsid w:val="3B269BBA"/>
    <w:rsid w:val="3F81B95C"/>
    <w:rsid w:val="41F55887"/>
    <w:rsid w:val="44EAEE91"/>
    <w:rsid w:val="45675866"/>
    <w:rsid w:val="490A5F10"/>
    <w:rsid w:val="4945FCE9"/>
    <w:rsid w:val="4A3C7A14"/>
    <w:rsid w:val="4A3D55DE"/>
    <w:rsid w:val="52D941AF"/>
    <w:rsid w:val="53ED5E59"/>
    <w:rsid w:val="54F1B7E3"/>
    <w:rsid w:val="56809FC8"/>
    <w:rsid w:val="58F48BCC"/>
    <w:rsid w:val="5D19B169"/>
    <w:rsid w:val="5DD122FA"/>
    <w:rsid w:val="5FB3C76E"/>
    <w:rsid w:val="6700B75A"/>
    <w:rsid w:val="69512D1C"/>
    <w:rsid w:val="720C39F5"/>
    <w:rsid w:val="7261B7E7"/>
    <w:rsid w:val="72F1EBF4"/>
    <w:rsid w:val="7DE9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65F0"/>
  <w15:chartTrackingRefBased/>
  <w15:docId w15:val="{A6B1D9FE-1D25-4BCA-8334-0584D18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2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0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7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0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D4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85C99"/>
  </w:style>
  <w:style w:type="paragraph" w:customStyle="1" w:styleId="paragraph">
    <w:name w:val="paragraph"/>
    <w:basedOn w:val="Normalny"/>
    <w:rsid w:val="00F9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073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8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6A"/>
  </w:style>
  <w:style w:type="paragraph" w:styleId="Stopka">
    <w:name w:val="footer"/>
    <w:basedOn w:val="Normalny"/>
    <w:link w:val="StopkaZnak"/>
    <w:uiPriority w:val="99"/>
    <w:semiHidden/>
    <w:unhideWhenUsed/>
    <w:rsid w:val="0088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ipaholding.pl/wp-content/uploads/2021/10/Plan_Polaczenia_EKIPA-BBI-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bbi-polsk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lg_x0105_d xmlns="c267fc90-1952-432a-bfe7-cfe903a2b77b" xsi:nil="true"/>
    <_Flow_SignoffStatus xmlns="c267fc90-1952-432a-bfe7-cfe903a2b7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62191D828F44587002516D205B0DB" ma:contentTypeVersion="15" ma:contentTypeDescription="Utwórz nowy dokument." ma:contentTypeScope="" ma:versionID="7c64072813a8736955ec0a08ac7ffb75">
  <xsd:schema xmlns:xsd="http://www.w3.org/2001/XMLSchema" xmlns:xs="http://www.w3.org/2001/XMLSchema" xmlns:p="http://schemas.microsoft.com/office/2006/metadata/properties" xmlns:ns2="c267fc90-1952-432a-bfe7-cfe903a2b77b" xmlns:ns3="c5a3620b-9552-4e22-8b16-1f068ef35689" targetNamespace="http://schemas.microsoft.com/office/2006/metadata/properties" ma:root="true" ma:fieldsID="2c211562f25d2cbbc237cf596f0f671e" ns2:_="" ns3:_="">
    <xsd:import namespace="c267fc90-1952-432a-bfe7-cfe903a2b77b"/>
    <xsd:import namespace="c5a3620b-9552-4e22-8b16-1f068ef3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Podlg_x0105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fc90-1952-432a-bfe7-cfe903a2b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Podlg_x0105_d" ma:index="22" nillable="true" ma:displayName="Podlgąd" ma:format="Thumbnail" ma:internalName="Podlg_x0105_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620b-9552-4e22-8b16-1f068ef3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955FC-0295-44B9-ACA2-292E20DE3E33}">
  <ds:schemaRefs>
    <ds:schemaRef ds:uri="http://schemas.microsoft.com/office/2006/metadata/properties"/>
    <ds:schemaRef ds:uri="http://schemas.microsoft.com/office/infopath/2007/PartnerControls"/>
    <ds:schemaRef ds:uri="c267fc90-1952-432a-bfe7-cfe903a2b77b"/>
  </ds:schemaRefs>
</ds:datastoreItem>
</file>

<file path=customXml/itemProps2.xml><?xml version="1.0" encoding="utf-8"?>
<ds:datastoreItem xmlns:ds="http://schemas.openxmlformats.org/officeDocument/2006/customXml" ds:itemID="{A3EFEA69-3CCB-4FB4-9DCE-C6F09951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7fc90-1952-432a-bfe7-cfe903a2b77b"/>
    <ds:schemaRef ds:uri="c5a3620b-9552-4e22-8b16-1f068ef3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9A989-32A6-461A-8D27-AC7A1FD1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2446</Words>
  <Characters>14681</Characters>
  <Application>Microsoft Office Word</Application>
  <DocSecurity>0</DocSecurity>
  <Lines>122</Lines>
  <Paragraphs>34</Paragraphs>
  <ScaleCrop>false</ScaleCrop>
  <Company/>
  <LinksUpToDate>false</LinksUpToDate>
  <CharactersWithSpaces>17093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https://bbi-polska.com/plan-polaczenia/</vt:lpwstr>
      </vt:variant>
      <vt:variant>
        <vt:lpwstr/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https://ekipaholding.pl/wp-content/uploads/2021/10/Plan_Polaczenia_EKIPA-BBI-1.pdf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https://bbi-polska.com/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MKAPIJAS</dc:creator>
  <cp:keywords/>
  <dc:description/>
  <cp:lastModifiedBy>lg .</cp:lastModifiedBy>
  <cp:revision>4</cp:revision>
  <cp:lastPrinted>2022-03-18T13:56:00Z</cp:lastPrinted>
  <dcterms:created xsi:type="dcterms:W3CDTF">2022-03-24T01:59:00Z</dcterms:created>
  <dcterms:modified xsi:type="dcterms:W3CDTF">2022-03-24T02:02:00Z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0x0101007CC62191D828F44587002516D205B0DB</vt:lpwstr>
  </property>
  <property fmtid="{D5CDD505-2E9C-101B-9397-08002B2CF9AE}" pid="3" name="Order">
    <vt:r8>535800</vt:r8>
  </property>
</Properties>
</file>